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b/>
          <w:bCs/>
          <w:color w:val="auto"/>
          <w:sz w:val="84"/>
          <w:szCs w:val="84"/>
        </w:rPr>
      </w:pPr>
    </w:p>
    <w:p>
      <w:pPr>
        <w:spacing w:line="360" w:lineRule="auto"/>
        <w:jc w:val="center"/>
        <w:rPr>
          <w:rFonts w:ascii="宋体"/>
          <w:b/>
          <w:bCs/>
          <w:color w:val="auto"/>
          <w:sz w:val="84"/>
          <w:szCs w:val="84"/>
        </w:rPr>
      </w:pPr>
      <w:r>
        <w:rPr>
          <w:rFonts w:hint="eastAsia" w:ascii="宋体" w:hAnsi="宋体" w:cs="宋体"/>
          <w:b/>
          <w:bCs/>
          <w:color w:val="auto"/>
          <w:sz w:val="84"/>
          <w:szCs w:val="84"/>
        </w:rPr>
        <w:t>询价通知书</w:t>
      </w:r>
    </w:p>
    <w:p>
      <w:pPr>
        <w:pStyle w:val="16"/>
        <w:spacing w:line="360" w:lineRule="auto"/>
        <w:ind w:firstLine="883" w:firstLineChars="200"/>
        <w:jc w:val="center"/>
        <w:rPr>
          <w:rFonts w:hAnsi="宋体" w:cs="Times New Roman"/>
          <w:b/>
          <w:bCs/>
          <w:color w:val="auto"/>
          <w:sz w:val="44"/>
          <w:szCs w:val="44"/>
        </w:rPr>
      </w:pPr>
    </w:p>
    <w:p>
      <w:pPr>
        <w:pStyle w:val="16"/>
        <w:spacing w:line="360" w:lineRule="auto"/>
        <w:ind w:firstLine="643" w:firstLineChars="200"/>
        <w:rPr>
          <w:rFonts w:hAnsi="宋体" w:cs="Times New Roman"/>
          <w:b/>
          <w:bCs/>
          <w:color w:val="auto"/>
          <w:sz w:val="32"/>
          <w:szCs w:val="32"/>
        </w:rPr>
      </w:pPr>
    </w:p>
    <w:p>
      <w:pPr>
        <w:pStyle w:val="16"/>
        <w:spacing w:line="360" w:lineRule="auto"/>
        <w:ind w:firstLine="643" w:firstLineChars="200"/>
        <w:rPr>
          <w:rFonts w:hAnsi="宋体" w:cs="Times New Roman"/>
          <w:b/>
          <w:bCs/>
          <w:color w:val="auto"/>
          <w:sz w:val="32"/>
          <w:szCs w:val="32"/>
        </w:rPr>
      </w:pPr>
    </w:p>
    <w:p>
      <w:pPr>
        <w:pStyle w:val="16"/>
        <w:spacing w:line="360" w:lineRule="auto"/>
        <w:ind w:firstLine="640" w:firstLineChars="200"/>
        <w:rPr>
          <w:rFonts w:hAnsi="宋体" w:cs="Times New Roman"/>
          <w:color w:val="auto"/>
          <w:sz w:val="32"/>
          <w:szCs w:val="32"/>
        </w:rPr>
      </w:pPr>
      <w:r>
        <w:rPr>
          <w:rFonts w:hint="eastAsia" w:hAnsi="宋体"/>
          <w:color w:val="auto"/>
          <w:sz w:val="32"/>
          <w:szCs w:val="32"/>
        </w:rPr>
        <w:t>采购编号：</w:t>
      </w:r>
      <w:r>
        <w:rPr>
          <w:rFonts w:hint="eastAsia" w:hAnsi="宋体"/>
          <w:color w:val="auto"/>
          <w:sz w:val="32"/>
          <w:szCs w:val="32"/>
          <w:lang w:eastAsia="zh-CN"/>
        </w:rPr>
        <w:t>卓招（岩）字2022-104</w:t>
      </w:r>
      <w:r>
        <w:rPr>
          <w:rFonts w:hint="eastAsia" w:hAnsi="宋体"/>
          <w:color w:val="auto"/>
          <w:sz w:val="32"/>
          <w:szCs w:val="32"/>
          <w:lang w:val="en-US" w:eastAsia="zh-CN"/>
        </w:rPr>
        <w:t>-2</w:t>
      </w:r>
      <w:r>
        <w:rPr>
          <w:rFonts w:hint="eastAsia" w:hAnsi="宋体"/>
          <w:color w:val="auto"/>
          <w:sz w:val="32"/>
          <w:szCs w:val="32"/>
          <w:lang w:eastAsia="zh-CN"/>
        </w:rPr>
        <w:t>号</w:t>
      </w:r>
    </w:p>
    <w:p>
      <w:pPr>
        <w:pStyle w:val="16"/>
        <w:spacing w:line="360" w:lineRule="auto"/>
        <w:ind w:firstLine="640" w:firstLineChars="200"/>
        <w:rPr>
          <w:rFonts w:hAnsi="宋体" w:cs="Times New Roman"/>
          <w:color w:val="auto"/>
          <w:sz w:val="32"/>
          <w:szCs w:val="32"/>
        </w:rPr>
      </w:pPr>
      <w:r>
        <w:rPr>
          <w:rFonts w:hint="eastAsia" w:hAnsi="宋体"/>
          <w:color w:val="auto"/>
          <w:sz w:val="32"/>
          <w:szCs w:val="32"/>
        </w:rPr>
        <w:t>备案编号：/</w:t>
      </w:r>
    </w:p>
    <w:p>
      <w:pPr>
        <w:pStyle w:val="16"/>
        <w:spacing w:line="360" w:lineRule="auto"/>
        <w:ind w:firstLine="640" w:firstLineChars="200"/>
        <w:rPr>
          <w:rFonts w:hint="eastAsia" w:hAnsi="宋体"/>
          <w:color w:val="auto"/>
          <w:sz w:val="30"/>
          <w:szCs w:val="30"/>
        </w:rPr>
      </w:pPr>
      <w:r>
        <w:rPr>
          <w:rFonts w:hint="eastAsia" w:hAnsi="宋体"/>
          <w:color w:val="auto"/>
          <w:sz w:val="32"/>
          <w:szCs w:val="32"/>
        </w:rPr>
        <w:t>项目名称：</w:t>
      </w:r>
      <w:r>
        <w:rPr>
          <w:rFonts w:hint="eastAsia" w:hAnsi="宋体"/>
          <w:color w:val="auto"/>
          <w:sz w:val="30"/>
          <w:szCs w:val="30"/>
          <w:lang w:eastAsia="zh-CN"/>
        </w:rPr>
        <w:t>龙岩学院火灾自动报警系统维护改造服务项目货物类采购项目</w:t>
      </w:r>
    </w:p>
    <w:p>
      <w:pPr>
        <w:pStyle w:val="16"/>
        <w:spacing w:line="360" w:lineRule="auto"/>
        <w:ind w:firstLine="600" w:firstLineChars="200"/>
        <w:rPr>
          <w:rFonts w:hint="eastAsia" w:hAnsi="宋体"/>
          <w:color w:val="auto"/>
          <w:sz w:val="30"/>
          <w:szCs w:val="30"/>
        </w:rPr>
      </w:pPr>
    </w:p>
    <w:p>
      <w:pPr>
        <w:pStyle w:val="16"/>
        <w:spacing w:line="360" w:lineRule="auto"/>
        <w:ind w:firstLine="640" w:firstLineChars="200"/>
        <w:rPr>
          <w:rFonts w:hint="eastAsia" w:hAnsi="宋体" w:eastAsia="宋体"/>
          <w:color w:val="auto"/>
          <w:sz w:val="30"/>
          <w:szCs w:val="30"/>
          <w:lang w:eastAsia="zh-CN"/>
        </w:rPr>
      </w:pPr>
      <w:r>
        <w:rPr>
          <w:rFonts w:hint="eastAsia" w:hAnsi="宋体"/>
          <w:color w:val="auto"/>
          <w:sz w:val="32"/>
          <w:szCs w:val="32"/>
        </w:rPr>
        <w:t>采购人：</w:t>
      </w:r>
      <w:r>
        <w:rPr>
          <w:rFonts w:hint="eastAsia" w:hAnsi="宋体"/>
          <w:color w:val="auto"/>
          <w:sz w:val="30"/>
          <w:szCs w:val="30"/>
        </w:rPr>
        <w:t>龙岩学院</w:t>
      </w:r>
      <w:r>
        <w:rPr>
          <w:rFonts w:hint="eastAsia" w:hAnsi="宋体"/>
          <w:color w:val="auto"/>
          <w:sz w:val="30"/>
          <w:szCs w:val="30"/>
          <w:lang w:eastAsia="zh-CN"/>
        </w:rPr>
        <w:t>（盖章）</w:t>
      </w:r>
    </w:p>
    <w:p>
      <w:pPr>
        <w:pStyle w:val="16"/>
        <w:spacing w:line="360" w:lineRule="auto"/>
        <w:ind w:firstLine="600" w:firstLineChars="200"/>
        <w:jc w:val="left"/>
        <w:rPr>
          <w:rFonts w:hAnsi="宋体" w:cs="Times New Roman"/>
          <w:b/>
          <w:bCs/>
          <w:color w:val="auto"/>
          <w:spacing w:val="20"/>
          <w:sz w:val="32"/>
          <w:szCs w:val="32"/>
        </w:rPr>
      </w:pPr>
      <w:r>
        <w:rPr>
          <w:rFonts w:hint="eastAsia" w:hAnsi="宋体"/>
          <w:color w:val="auto"/>
          <w:sz w:val="30"/>
          <w:szCs w:val="30"/>
          <w:lang w:eastAsia="zh-CN"/>
        </w:rPr>
        <w:t>采购代理机构：</w:t>
      </w:r>
      <w:r>
        <w:rPr>
          <w:rFonts w:hint="eastAsia" w:hAnsi="宋体"/>
          <w:b w:val="0"/>
          <w:bCs w:val="0"/>
          <w:color w:val="auto"/>
          <w:sz w:val="30"/>
          <w:szCs w:val="30"/>
        </w:rPr>
        <w:t>卓知项目管理顾问有限公司</w:t>
      </w:r>
      <w:r>
        <w:rPr>
          <w:rFonts w:hint="eastAsia" w:hAnsi="宋体"/>
          <w:color w:val="auto"/>
          <w:sz w:val="30"/>
          <w:szCs w:val="30"/>
          <w:lang w:eastAsia="zh-CN"/>
        </w:rPr>
        <w:t>（盖章）</w:t>
      </w:r>
    </w:p>
    <w:p>
      <w:pPr>
        <w:pStyle w:val="16"/>
        <w:spacing w:line="360" w:lineRule="auto"/>
        <w:ind w:firstLine="1767" w:firstLineChars="550"/>
        <w:jc w:val="left"/>
        <w:rPr>
          <w:rFonts w:hAnsi="宋体" w:cs="Times New Roman"/>
          <w:b/>
          <w:bCs/>
          <w:color w:val="auto"/>
          <w:sz w:val="32"/>
          <w:szCs w:val="32"/>
        </w:rPr>
      </w:pPr>
    </w:p>
    <w:p>
      <w:pPr>
        <w:pStyle w:val="16"/>
        <w:spacing w:line="360" w:lineRule="auto"/>
        <w:ind w:firstLine="0" w:firstLineChars="0"/>
        <w:jc w:val="left"/>
        <w:rPr>
          <w:rFonts w:hAnsi="宋体" w:cs="Times New Roman"/>
          <w:b/>
          <w:bCs/>
          <w:color w:val="auto"/>
          <w:sz w:val="32"/>
          <w:szCs w:val="32"/>
        </w:rPr>
      </w:pPr>
    </w:p>
    <w:p>
      <w:pPr>
        <w:pStyle w:val="16"/>
        <w:spacing w:line="360" w:lineRule="auto"/>
        <w:ind w:firstLine="1767" w:firstLineChars="550"/>
        <w:jc w:val="left"/>
        <w:rPr>
          <w:rFonts w:hAnsi="宋体" w:cs="Times New Roman"/>
          <w:b/>
          <w:bCs/>
          <w:color w:val="auto"/>
          <w:sz w:val="32"/>
          <w:szCs w:val="32"/>
        </w:rPr>
      </w:pPr>
    </w:p>
    <w:p>
      <w:pPr>
        <w:pStyle w:val="16"/>
        <w:spacing w:line="360" w:lineRule="auto"/>
        <w:jc w:val="center"/>
        <w:rPr>
          <w:rFonts w:hAnsi="宋体" w:cs="Times New Roman"/>
          <w:b/>
          <w:bCs/>
          <w:color w:val="auto"/>
          <w:sz w:val="32"/>
          <w:szCs w:val="32"/>
        </w:rPr>
      </w:pPr>
      <w:bookmarkStart w:id="0" w:name="_Toc25852"/>
      <w:r>
        <w:rPr>
          <w:rFonts w:hint="eastAsia" w:hAnsi="宋体"/>
          <w:b/>
          <w:bCs/>
          <w:color w:val="auto"/>
          <w:sz w:val="32"/>
          <w:szCs w:val="32"/>
        </w:rPr>
        <w:t>二○二二年</w:t>
      </w:r>
      <w:r>
        <w:rPr>
          <w:rFonts w:hint="eastAsia" w:hAnsi="宋体"/>
          <w:b/>
          <w:bCs/>
          <w:color w:val="auto"/>
          <w:sz w:val="32"/>
          <w:szCs w:val="32"/>
          <w:lang w:val="en-US" w:eastAsia="zh-CN"/>
        </w:rPr>
        <w:t>十二</w:t>
      </w:r>
      <w:r>
        <w:rPr>
          <w:rFonts w:hint="eastAsia" w:hAnsi="宋体"/>
          <w:b/>
          <w:bCs/>
          <w:color w:val="auto"/>
          <w:sz w:val="32"/>
          <w:szCs w:val="32"/>
        </w:rPr>
        <w:t>月</w:t>
      </w:r>
      <w:bookmarkEnd w:id="0"/>
    </w:p>
    <w:p>
      <w:pPr>
        <w:pStyle w:val="16"/>
        <w:spacing w:line="360" w:lineRule="auto"/>
        <w:ind w:firstLine="2249" w:firstLineChars="700"/>
        <w:jc w:val="center"/>
        <w:rPr>
          <w:rFonts w:hAnsi="宋体" w:cs="Times New Roman"/>
          <w:b/>
          <w:bCs/>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7" w:header="851" w:footer="992" w:gutter="0"/>
          <w:pgNumType w:fmt="decimal"/>
          <w:cols w:space="720" w:num="1"/>
          <w:titlePg/>
          <w:docGrid w:type="lines" w:linePitch="312" w:charSpace="0"/>
        </w:sectPr>
      </w:pPr>
    </w:p>
    <w:sdt>
      <w:sdtPr>
        <w:rPr>
          <w:rFonts w:ascii="宋体" w:hAnsi="宋体" w:cs="宋体"/>
          <w:b/>
          <w:bCs/>
          <w:color w:val="auto"/>
          <w:sz w:val="36"/>
          <w:szCs w:val="36"/>
        </w:rPr>
        <w:id w:val="147471541"/>
      </w:sdtPr>
      <w:sdtEndPr>
        <w:rPr>
          <w:rFonts w:hint="eastAsia" w:ascii="宋体" w:hAnsi="宋体" w:cs="宋体"/>
          <w:b/>
          <w:bCs/>
          <w:color w:val="auto"/>
          <w:sz w:val="24"/>
          <w:szCs w:val="24"/>
        </w:rPr>
      </w:sdtEndPr>
      <w:sdtContent>
        <w:p>
          <w:pPr>
            <w:spacing w:line="360" w:lineRule="auto"/>
            <w:jc w:val="center"/>
            <w:rPr>
              <w:b/>
              <w:bCs/>
              <w:color w:val="auto"/>
              <w:sz w:val="36"/>
              <w:szCs w:val="36"/>
            </w:rPr>
          </w:pPr>
          <w:r>
            <w:rPr>
              <w:rFonts w:ascii="宋体" w:hAnsi="宋体"/>
              <w:b/>
              <w:bCs/>
              <w:color w:val="auto"/>
              <w:sz w:val="36"/>
              <w:szCs w:val="36"/>
            </w:rPr>
            <w:t>目录</w:t>
          </w:r>
        </w:p>
        <w:p>
          <w:pPr>
            <w:pStyle w:val="92"/>
            <w:tabs>
              <w:tab w:val="right" w:leader="dot" w:pos="9071"/>
            </w:tabs>
            <w:spacing w:line="360" w:lineRule="auto"/>
            <w:rPr>
              <w:b/>
              <w:color w:val="auto"/>
              <w:sz w:val="24"/>
              <w:szCs w:val="24"/>
            </w:rPr>
          </w:pP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TOC \o "1-2" \h \u </w:instrText>
          </w:r>
          <w:r>
            <w:rPr>
              <w:rFonts w:hint="eastAsia" w:ascii="宋体" w:hAnsi="宋体" w:cs="宋体"/>
              <w:b/>
              <w:bCs/>
              <w:color w:val="auto"/>
              <w:sz w:val="24"/>
              <w:szCs w:val="24"/>
            </w:rPr>
            <w:fldChar w:fldCharType="separate"/>
          </w:r>
          <w:r>
            <w:rPr>
              <w:color w:val="auto"/>
            </w:rPr>
            <w:fldChar w:fldCharType="begin"/>
          </w:r>
          <w:r>
            <w:rPr>
              <w:color w:val="auto"/>
            </w:rPr>
            <w:instrText xml:space="preserve"> HYPERLINK \l "_Toc31924" </w:instrText>
          </w:r>
          <w:r>
            <w:rPr>
              <w:color w:val="auto"/>
            </w:rPr>
            <w:fldChar w:fldCharType="separate"/>
          </w:r>
          <w:r>
            <w:rPr>
              <w:rFonts w:hint="eastAsia" w:cs="宋体"/>
              <w:b/>
              <w:color w:val="auto"/>
              <w:sz w:val="24"/>
              <w:szCs w:val="24"/>
            </w:rPr>
            <w:t>第一章询价邀请</w:t>
          </w:r>
          <w:r>
            <w:rPr>
              <w:b/>
              <w:color w:val="auto"/>
              <w:sz w:val="24"/>
              <w:szCs w:val="24"/>
            </w:rPr>
            <w:tab/>
          </w:r>
          <w:r>
            <w:rPr>
              <w:b/>
              <w:color w:val="auto"/>
              <w:sz w:val="24"/>
              <w:szCs w:val="24"/>
            </w:rPr>
            <w:fldChar w:fldCharType="begin"/>
          </w:r>
          <w:r>
            <w:rPr>
              <w:b/>
              <w:color w:val="auto"/>
              <w:sz w:val="24"/>
              <w:szCs w:val="24"/>
            </w:rPr>
            <w:instrText xml:space="preserve"> PAGEREF _Toc31924 \h </w:instrText>
          </w:r>
          <w:r>
            <w:rPr>
              <w:b/>
              <w:color w:val="auto"/>
              <w:sz w:val="24"/>
              <w:szCs w:val="24"/>
            </w:rPr>
            <w:fldChar w:fldCharType="separate"/>
          </w:r>
          <w:r>
            <w:rPr>
              <w:b/>
              <w:color w:val="auto"/>
              <w:sz w:val="24"/>
              <w:szCs w:val="24"/>
            </w:rPr>
            <w:t>2</w:t>
          </w:r>
          <w:r>
            <w:rPr>
              <w:b/>
              <w:color w:val="auto"/>
              <w:sz w:val="24"/>
              <w:szCs w:val="24"/>
            </w:rPr>
            <w:fldChar w:fldCharType="end"/>
          </w:r>
          <w:r>
            <w:rPr>
              <w:b/>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"_Toc28560" </w:instrText>
          </w:r>
          <w:r>
            <w:rPr>
              <w:color w:val="auto"/>
            </w:rPr>
            <w:fldChar w:fldCharType="separate"/>
          </w:r>
          <w:r>
            <w:rPr>
              <w:rFonts w:hint="eastAsia" w:ascii="宋体" w:hAnsi="宋体" w:cs="宋体"/>
              <w:color w:val="auto"/>
              <w:sz w:val="24"/>
              <w:szCs w:val="24"/>
            </w:rPr>
            <w:t>一、询价邀请</w:t>
          </w:r>
          <w:r>
            <w:rPr>
              <w:color w:val="auto"/>
              <w:sz w:val="24"/>
              <w:szCs w:val="24"/>
            </w:rPr>
            <w:tab/>
          </w:r>
          <w:r>
            <w:rPr>
              <w:color w:val="auto"/>
              <w:sz w:val="24"/>
              <w:szCs w:val="24"/>
            </w:rPr>
            <w:fldChar w:fldCharType="begin"/>
          </w:r>
          <w:r>
            <w:rPr>
              <w:color w:val="auto"/>
              <w:sz w:val="24"/>
              <w:szCs w:val="24"/>
            </w:rPr>
            <w:instrText xml:space="preserve"> PAGEREF _Toc28560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"_Toc8334" </w:instrText>
          </w:r>
          <w:r>
            <w:rPr>
              <w:color w:val="auto"/>
            </w:rPr>
            <w:fldChar w:fldCharType="separate"/>
          </w:r>
          <w:r>
            <w:rPr>
              <w:rFonts w:hint="eastAsia" w:ascii="宋体"/>
              <w:color w:val="auto"/>
              <w:sz w:val="24"/>
              <w:szCs w:val="24"/>
            </w:rPr>
            <w:t xml:space="preserve">二、 </w:t>
          </w:r>
          <w:r>
            <w:rPr>
              <w:rFonts w:hint="eastAsia" w:ascii="宋体" w:hAnsi="宋体" w:cs="宋体"/>
              <w:color w:val="auto"/>
              <w:sz w:val="24"/>
              <w:szCs w:val="24"/>
            </w:rPr>
            <w:t>询价货物一览表</w:t>
          </w:r>
          <w:r>
            <w:rPr>
              <w:color w:val="auto"/>
              <w:sz w:val="24"/>
              <w:szCs w:val="24"/>
            </w:rPr>
            <w:tab/>
          </w:r>
          <w:r>
            <w:rPr>
              <w:color w:val="auto"/>
              <w:sz w:val="24"/>
              <w:szCs w:val="24"/>
            </w:rPr>
            <w:fldChar w:fldCharType="begin"/>
          </w:r>
          <w:r>
            <w:rPr>
              <w:color w:val="auto"/>
              <w:sz w:val="24"/>
              <w:szCs w:val="24"/>
            </w:rPr>
            <w:instrText xml:space="preserve"> PAGEREF _Toc8334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92"/>
            <w:tabs>
              <w:tab w:val="right" w:leader="dot" w:pos="9071"/>
            </w:tabs>
            <w:spacing w:line="360" w:lineRule="auto"/>
            <w:rPr>
              <w:b/>
              <w:color w:val="auto"/>
              <w:sz w:val="24"/>
              <w:szCs w:val="24"/>
            </w:rPr>
          </w:pPr>
          <w:r>
            <w:rPr>
              <w:color w:val="auto"/>
            </w:rPr>
            <w:fldChar w:fldCharType="begin"/>
          </w:r>
          <w:r>
            <w:rPr>
              <w:color w:val="auto"/>
            </w:rPr>
            <w:instrText xml:space="preserve"> HYPERLINK \l "_Toc20117" </w:instrText>
          </w:r>
          <w:r>
            <w:rPr>
              <w:color w:val="auto"/>
            </w:rPr>
            <w:fldChar w:fldCharType="separate"/>
          </w:r>
          <w:r>
            <w:rPr>
              <w:rFonts w:hint="eastAsia" w:cs="宋体"/>
              <w:b/>
              <w:color w:val="auto"/>
              <w:sz w:val="24"/>
              <w:szCs w:val="24"/>
            </w:rPr>
            <w:t>第二章询价供应商须知</w:t>
          </w:r>
          <w:r>
            <w:rPr>
              <w:b/>
              <w:color w:val="auto"/>
              <w:sz w:val="24"/>
              <w:szCs w:val="24"/>
            </w:rPr>
            <w:tab/>
          </w:r>
          <w:r>
            <w:rPr>
              <w:b/>
              <w:color w:val="auto"/>
              <w:sz w:val="24"/>
              <w:szCs w:val="24"/>
            </w:rPr>
            <w:fldChar w:fldCharType="begin"/>
          </w:r>
          <w:r>
            <w:rPr>
              <w:b/>
              <w:color w:val="auto"/>
              <w:sz w:val="24"/>
              <w:szCs w:val="24"/>
            </w:rPr>
            <w:instrText xml:space="preserve"> PAGEREF _Toc20117 \h </w:instrText>
          </w:r>
          <w:r>
            <w:rPr>
              <w:b/>
              <w:color w:val="auto"/>
              <w:sz w:val="24"/>
              <w:szCs w:val="24"/>
            </w:rPr>
            <w:fldChar w:fldCharType="separate"/>
          </w:r>
          <w:r>
            <w:rPr>
              <w:b/>
              <w:color w:val="auto"/>
              <w:sz w:val="24"/>
              <w:szCs w:val="24"/>
            </w:rPr>
            <w:t>6</w:t>
          </w:r>
          <w:r>
            <w:rPr>
              <w:b/>
              <w:color w:val="auto"/>
              <w:sz w:val="24"/>
              <w:szCs w:val="24"/>
            </w:rPr>
            <w:fldChar w:fldCharType="end"/>
          </w:r>
          <w:r>
            <w:rPr>
              <w:b/>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"_Toc26853" </w:instrText>
          </w:r>
          <w:r>
            <w:rPr>
              <w:color w:val="auto"/>
            </w:rPr>
            <w:fldChar w:fldCharType="separate"/>
          </w:r>
          <w:r>
            <w:rPr>
              <w:rFonts w:hint="eastAsia" w:cs="宋体"/>
              <w:color w:val="auto"/>
              <w:sz w:val="24"/>
              <w:szCs w:val="24"/>
            </w:rPr>
            <w:t>询价供应商须知前附表</w:t>
          </w:r>
          <w:r>
            <w:rPr>
              <w:color w:val="auto"/>
              <w:sz w:val="24"/>
              <w:szCs w:val="24"/>
            </w:rPr>
            <w:tab/>
          </w:r>
          <w:r>
            <w:rPr>
              <w:color w:val="auto"/>
              <w:sz w:val="24"/>
              <w:szCs w:val="24"/>
            </w:rPr>
            <w:fldChar w:fldCharType="begin"/>
          </w:r>
          <w:r>
            <w:rPr>
              <w:color w:val="auto"/>
              <w:sz w:val="24"/>
              <w:szCs w:val="24"/>
            </w:rPr>
            <w:instrText xml:space="preserve"> PAGEREF _Toc26853 \h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"_Toc24902" </w:instrText>
          </w:r>
          <w:r>
            <w:rPr>
              <w:color w:val="auto"/>
            </w:rPr>
            <w:fldChar w:fldCharType="separate"/>
          </w:r>
          <w:r>
            <w:rPr>
              <w:rFonts w:hint="eastAsia" w:cs="宋体"/>
              <w:color w:val="auto"/>
              <w:sz w:val="24"/>
              <w:szCs w:val="24"/>
            </w:rPr>
            <w:t>一、说明</w:t>
          </w:r>
          <w:r>
            <w:rPr>
              <w:color w:val="auto"/>
              <w:sz w:val="24"/>
              <w:szCs w:val="24"/>
            </w:rPr>
            <w:tab/>
          </w:r>
          <w:r>
            <w:rPr>
              <w:color w:val="auto"/>
              <w:sz w:val="24"/>
              <w:szCs w:val="24"/>
            </w:rPr>
            <w:fldChar w:fldCharType="begin"/>
          </w:r>
          <w:r>
            <w:rPr>
              <w:color w:val="auto"/>
              <w:sz w:val="24"/>
              <w:szCs w:val="24"/>
            </w:rPr>
            <w:instrText xml:space="preserve"> PAGEREF _Toc24902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"_Toc8421" </w:instrText>
          </w:r>
          <w:r>
            <w:rPr>
              <w:color w:val="auto"/>
            </w:rPr>
            <w:fldChar w:fldCharType="separate"/>
          </w:r>
          <w:r>
            <w:rPr>
              <w:rFonts w:hint="eastAsia" w:cs="宋体"/>
              <w:color w:val="auto"/>
              <w:sz w:val="24"/>
              <w:szCs w:val="24"/>
            </w:rPr>
            <w:t>二、询价通知书</w:t>
          </w:r>
          <w:r>
            <w:rPr>
              <w:color w:val="auto"/>
              <w:sz w:val="24"/>
              <w:szCs w:val="24"/>
            </w:rPr>
            <w:tab/>
          </w:r>
          <w:r>
            <w:rPr>
              <w:color w:val="auto"/>
              <w:sz w:val="24"/>
              <w:szCs w:val="24"/>
            </w:rPr>
            <w:fldChar w:fldCharType="begin"/>
          </w:r>
          <w:r>
            <w:rPr>
              <w:color w:val="auto"/>
              <w:sz w:val="24"/>
              <w:szCs w:val="24"/>
            </w:rPr>
            <w:instrText xml:space="preserve"> PAGEREF _Toc8421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"_Toc11191" </w:instrText>
          </w:r>
          <w:r>
            <w:rPr>
              <w:color w:val="auto"/>
            </w:rPr>
            <w:fldChar w:fldCharType="separate"/>
          </w:r>
          <w:r>
            <w:rPr>
              <w:rFonts w:hint="eastAsia" w:cs="宋体"/>
              <w:color w:val="auto"/>
              <w:sz w:val="24"/>
              <w:szCs w:val="24"/>
            </w:rPr>
            <w:t>三、询价响应文件的编写</w:t>
          </w:r>
          <w:r>
            <w:rPr>
              <w:color w:val="auto"/>
              <w:sz w:val="24"/>
              <w:szCs w:val="24"/>
            </w:rPr>
            <w:tab/>
          </w:r>
          <w:r>
            <w:rPr>
              <w:color w:val="auto"/>
              <w:sz w:val="24"/>
              <w:szCs w:val="24"/>
            </w:rPr>
            <w:fldChar w:fldCharType="begin"/>
          </w:r>
          <w:r>
            <w:rPr>
              <w:color w:val="auto"/>
              <w:sz w:val="24"/>
              <w:szCs w:val="24"/>
            </w:rPr>
            <w:instrText xml:space="preserve"> PAGEREF _Toc11191 \h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"_Toc23655" </w:instrText>
          </w:r>
          <w:r>
            <w:rPr>
              <w:color w:val="auto"/>
            </w:rPr>
            <w:fldChar w:fldCharType="separate"/>
          </w:r>
          <w:r>
            <w:rPr>
              <w:rFonts w:hint="eastAsia" w:cs="宋体"/>
              <w:color w:val="auto"/>
              <w:sz w:val="24"/>
              <w:szCs w:val="24"/>
            </w:rPr>
            <w:t>四、询价响应文件的递交</w:t>
          </w:r>
          <w:r>
            <w:rPr>
              <w:color w:val="auto"/>
              <w:sz w:val="24"/>
              <w:szCs w:val="24"/>
            </w:rPr>
            <w:tab/>
          </w:r>
          <w:r>
            <w:rPr>
              <w:color w:val="auto"/>
              <w:sz w:val="24"/>
              <w:szCs w:val="24"/>
            </w:rPr>
            <w:fldChar w:fldCharType="begin"/>
          </w:r>
          <w:r>
            <w:rPr>
              <w:color w:val="auto"/>
              <w:sz w:val="24"/>
              <w:szCs w:val="24"/>
            </w:rPr>
            <w:instrText xml:space="preserve"> PAGEREF _Toc23655 \h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"_Toc27120" </w:instrText>
          </w:r>
          <w:r>
            <w:rPr>
              <w:color w:val="auto"/>
            </w:rPr>
            <w:fldChar w:fldCharType="separate"/>
          </w:r>
          <w:r>
            <w:rPr>
              <w:rFonts w:hint="eastAsia" w:cs="宋体"/>
              <w:color w:val="auto"/>
              <w:sz w:val="24"/>
              <w:szCs w:val="24"/>
            </w:rPr>
            <w:t>五、询价响应文件的评估和比较</w:t>
          </w:r>
          <w:r>
            <w:rPr>
              <w:color w:val="auto"/>
              <w:sz w:val="24"/>
              <w:szCs w:val="24"/>
            </w:rPr>
            <w:tab/>
          </w:r>
          <w:r>
            <w:rPr>
              <w:color w:val="auto"/>
              <w:sz w:val="24"/>
              <w:szCs w:val="24"/>
            </w:rPr>
            <w:fldChar w:fldCharType="begin"/>
          </w:r>
          <w:r>
            <w:rPr>
              <w:color w:val="auto"/>
              <w:sz w:val="24"/>
              <w:szCs w:val="24"/>
            </w:rPr>
            <w:instrText xml:space="preserve"> PAGEREF _Toc27120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"_Toc3469" </w:instrText>
          </w:r>
          <w:r>
            <w:rPr>
              <w:color w:val="auto"/>
            </w:rPr>
            <w:fldChar w:fldCharType="separate"/>
          </w:r>
          <w:r>
            <w:rPr>
              <w:rFonts w:hint="eastAsia" w:cs="宋体"/>
              <w:color w:val="auto"/>
              <w:sz w:val="24"/>
              <w:szCs w:val="24"/>
            </w:rPr>
            <w:t>六、确定成交供应商与签订合同</w:t>
          </w:r>
          <w:r>
            <w:rPr>
              <w:color w:val="auto"/>
              <w:sz w:val="24"/>
              <w:szCs w:val="24"/>
            </w:rPr>
            <w:tab/>
          </w:r>
          <w:r>
            <w:rPr>
              <w:color w:val="auto"/>
              <w:sz w:val="24"/>
              <w:szCs w:val="24"/>
            </w:rPr>
            <w:fldChar w:fldCharType="begin"/>
          </w:r>
          <w:r>
            <w:rPr>
              <w:color w:val="auto"/>
              <w:sz w:val="24"/>
              <w:szCs w:val="24"/>
            </w:rPr>
            <w:instrText xml:space="preserve"> PAGEREF _Toc3469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93"/>
            <w:tabs>
              <w:tab w:val="right" w:leader="dot" w:pos="9071"/>
            </w:tabs>
            <w:spacing w:line="360" w:lineRule="auto"/>
            <w:ind w:left="420"/>
            <w:rPr>
              <w:color w:val="auto"/>
              <w:sz w:val="24"/>
              <w:szCs w:val="24"/>
            </w:rPr>
          </w:pPr>
          <w:r>
            <w:rPr>
              <w:color w:val="auto"/>
            </w:rPr>
            <w:fldChar w:fldCharType="begin"/>
          </w:r>
          <w:r>
            <w:rPr>
              <w:color w:val="auto"/>
            </w:rPr>
            <w:instrText xml:space="preserve"> HYPERLINK \l "_Toc320" </w:instrText>
          </w:r>
          <w:r>
            <w:rPr>
              <w:color w:val="auto"/>
            </w:rPr>
            <w:fldChar w:fldCharType="separate"/>
          </w:r>
          <w:r>
            <w:rPr>
              <w:rFonts w:hint="eastAsia" w:cs="宋体"/>
              <w:color w:val="auto"/>
              <w:sz w:val="24"/>
              <w:szCs w:val="24"/>
            </w:rPr>
            <w:t>七、质疑与投诉</w:t>
          </w:r>
          <w:r>
            <w:rPr>
              <w:color w:val="auto"/>
              <w:sz w:val="24"/>
              <w:szCs w:val="24"/>
            </w:rPr>
            <w:tab/>
          </w:r>
          <w:r>
            <w:rPr>
              <w:color w:val="auto"/>
              <w:sz w:val="24"/>
              <w:szCs w:val="24"/>
            </w:rPr>
            <w:fldChar w:fldCharType="begin"/>
          </w:r>
          <w:r>
            <w:rPr>
              <w:color w:val="auto"/>
              <w:sz w:val="24"/>
              <w:szCs w:val="24"/>
            </w:rPr>
            <w:instrText xml:space="preserve"> PAGEREF _Toc320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92"/>
            <w:tabs>
              <w:tab w:val="right" w:leader="dot" w:pos="9071"/>
            </w:tabs>
            <w:spacing w:line="360" w:lineRule="auto"/>
            <w:rPr>
              <w:b/>
              <w:color w:val="auto"/>
              <w:sz w:val="24"/>
              <w:szCs w:val="24"/>
            </w:rPr>
          </w:pPr>
          <w:r>
            <w:rPr>
              <w:color w:val="auto"/>
            </w:rPr>
            <w:fldChar w:fldCharType="begin"/>
          </w:r>
          <w:r>
            <w:rPr>
              <w:color w:val="auto"/>
            </w:rPr>
            <w:instrText xml:space="preserve"> HYPERLINK \l "_Toc245" </w:instrText>
          </w:r>
          <w:r>
            <w:rPr>
              <w:color w:val="auto"/>
            </w:rPr>
            <w:fldChar w:fldCharType="separate"/>
          </w:r>
          <w:r>
            <w:rPr>
              <w:rFonts w:hint="eastAsia" w:cs="宋体"/>
              <w:b/>
              <w:color w:val="auto"/>
              <w:sz w:val="24"/>
              <w:szCs w:val="24"/>
            </w:rPr>
            <w:t>第三章询价内容及要求</w:t>
          </w:r>
          <w:r>
            <w:rPr>
              <w:b/>
              <w:color w:val="auto"/>
              <w:sz w:val="24"/>
              <w:szCs w:val="24"/>
            </w:rPr>
            <w:tab/>
          </w:r>
          <w:r>
            <w:rPr>
              <w:b/>
              <w:color w:val="auto"/>
              <w:sz w:val="24"/>
              <w:szCs w:val="24"/>
            </w:rPr>
            <w:fldChar w:fldCharType="begin"/>
          </w:r>
          <w:r>
            <w:rPr>
              <w:b/>
              <w:color w:val="auto"/>
              <w:sz w:val="24"/>
              <w:szCs w:val="24"/>
            </w:rPr>
            <w:instrText xml:space="preserve"> PAGEREF _Toc245 \h </w:instrText>
          </w:r>
          <w:r>
            <w:rPr>
              <w:b/>
              <w:color w:val="auto"/>
              <w:sz w:val="24"/>
              <w:szCs w:val="24"/>
            </w:rPr>
            <w:fldChar w:fldCharType="separate"/>
          </w:r>
          <w:r>
            <w:rPr>
              <w:b/>
              <w:color w:val="auto"/>
              <w:sz w:val="24"/>
              <w:szCs w:val="24"/>
            </w:rPr>
            <w:t>23</w:t>
          </w:r>
          <w:r>
            <w:rPr>
              <w:b/>
              <w:color w:val="auto"/>
              <w:sz w:val="24"/>
              <w:szCs w:val="24"/>
            </w:rPr>
            <w:fldChar w:fldCharType="end"/>
          </w:r>
          <w:r>
            <w:rPr>
              <w:b/>
              <w:color w:val="auto"/>
              <w:sz w:val="24"/>
              <w:szCs w:val="24"/>
            </w:rPr>
            <w:fldChar w:fldCharType="end"/>
          </w:r>
        </w:p>
        <w:p>
          <w:pPr>
            <w:pStyle w:val="92"/>
            <w:tabs>
              <w:tab w:val="right" w:leader="dot" w:pos="9071"/>
            </w:tabs>
            <w:spacing w:line="360" w:lineRule="auto"/>
            <w:rPr>
              <w:b/>
              <w:color w:val="auto"/>
              <w:sz w:val="24"/>
              <w:szCs w:val="24"/>
            </w:rPr>
          </w:pPr>
          <w:r>
            <w:rPr>
              <w:color w:val="auto"/>
            </w:rPr>
            <w:fldChar w:fldCharType="begin"/>
          </w:r>
          <w:r>
            <w:rPr>
              <w:color w:val="auto"/>
            </w:rPr>
            <w:instrText xml:space="preserve"> HYPERLINK \l "_Toc6722" </w:instrText>
          </w:r>
          <w:r>
            <w:rPr>
              <w:color w:val="auto"/>
            </w:rPr>
            <w:fldChar w:fldCharType="separate"/>
          </w:r>
          <w:r>
            <w:rPr>
              <w:rFonts w:hint="eastAsia" w:cs="宋体"/>
              <w:b/>
              <w:color w:val="auto"/>
              <w:sz w:val="24"/>
              <w:szCs w:val="24"/>
            </w:rPr>
            <w:t>第四章采购合同（参考文本）</w:t>
          </w:r>
          <w:r>
            <w:rPr>
              <w:b/>
              <w:color w:val="auto"/>
              <w:sz w:val="24"/>
              <w:szCs w:val="24"/>
            </w:rPr>
            <w:tab/>
          </w:r>
          <w:r>
            <w:rPr>
              <w:b/>
              <w:color w:val="auto"/>
              <w:sz w:val="24"/>
              <w:szCs w:val="24"/>
            </w:rPr>
            <w:fldChar w:fldCharType="begin"/>
          </w:r>
          <w:r>
            <w:rPr>
              <w:b/>
              <w:color w:val="auto"/>
              <w:sz w:val="24"/>
              <w:szCs w:val="24"/>
            </w:rPr>
            <w:instrText xml:space="preserve"> PAGEREF _Toc6722 \h </w:instrText>
          </w:r>
          <w:r>
            <w:rPr>
              <w:b/>
              <w:color w:val="auto"/>
              <w:sz w:val="24"/>
              <w:szCs w:val="24"/>
            </w:rPr>
            <w:fldChar w:fldCharType="separate"/>
          </w:r>
          <w:r>
            <w:rPr>
              <w:b/>
              <w:color w:val="auto"/>
              <w:sz w:val="24"/>
              <w:szCs w:val="24"/>
            </w:rPr>
            <w:t>36</w:t>
          </w:r>
          <w:r>
            <w:rPr>
              <w:b/>
              <w:color w:val="auto"/>
              <w:sz w:val="24"/>
              <w:szCs w:val="24"/>
            </w:rPr>
            <w:fldChar w:fldCharType="end"/>
          </w:r>
          <w:r>
            <w:rPr>
              <w:b/>
              <w:color w:val="auto"/>
              <w:sz w:val="24"/>
              <w:szCs w:val="24"/>
            </w:rPr>
            <w:fldChar w:fldCharType="end"/>
          </w:r>
        </w:p>
        <w:p>
          <w:pPr>
            <w:pStyle w:val="92"/>
            <w:tabs>
              <w:tab w:val="right" w:leader="dot" w:pos="9071"/>
            </w:tabs>
            <w:spacing w:line="360" w:lineRule="auto"/>
            <w:rPr>
              <w:b/>
              <w:color w:val="auto"/>
              <w:sz w:val="24"/>
              <w:szCs w:val="24"/>
            </w:rPr>
          </w:pPr>
          <w:r>
            <w:rPr>
              <w:color w:val="auto"/>
            </w:rPr>
            <w:fldChar w:fldCharType="begin"/>
          </w:r>
          <w:r>
            <w:rPr>
              <w:color w:val="auto"/>
            </w:rPr>
            <w:instrText xml:space="preserve"> HYPERLINK \l "_Toc4081" </w:instrText>
          </w:r>
          <w:r>
            <w:rPr>
              <w:color w:val="auto"/>
            </w:rPr>
            <w:fldChar w:fldCharType="separate"/>
          </w:r>
          <w:r>
            <w:rPr>
              <w:rFonts w:hint="eastAsia" w:cs="宋体"/>
              <w:b/>
              <w:color w:val="auto"/>
              <w:sz w:val="24"/>
              <w:szCs w:val="24"/>
            </w:rPr>
            <w:t>第五章询价响应文件格式</w:t>
          </w:r>
          <w:r>
            <w:rPr>
              <w:b/>
              <w:color w:val="auto"/>
              <w:sz w:val="24"/>
              <w:szCs w:val="24"/>
            </w:rPr>
            <w:tab/>
          </w:r>
          <w:r>
            <w:rPr>
              <w:b/>
              <w:color w:val="auto"/>
              <w:sz w:val="24"/>
              <w:szCs w:val="24"/>
            </w:rPr>
            <w:fldChar w:fldCharType="begin"/>
          </w:r>
          <w:r>
            <w:rPr>
              <w:b/>
              <w:color w:val="auto"/>
              <w:sz w:val="24"/>
              <w:szCs w:val="24"/>
            </w:rPr>
            <w:instrText xml:space="preserve"> PAGEREF _Toc4081 \h </w:instrText>
          </w:r>
          <w:r>
            <w:rPr>
              <w:b/>
              <w:color w:val="auto"/>
              <w:sz w:val="24"/>
              <w:szCs w:val="24"/>
            </w:rPr>
            <w:fldChar w:fldCharType="separate"/>
          </w:r>
          <w:r>
            <w:rPr>
              <w:b/>
              <w:color w:val="auto"/>
              <w:sz w:val="24"/>
              <w:szCs w:val="24"/>
            </w:rPr>
            <w:t>48</w:t>
          </w:r>
          <w:r>
            <w:rPr>
              <w:b/>
              <w:color w:val="auto"/>
              <w:sz w:val="24"/>
              <w:szCs w:val="24"/>
            </w:rPr>
            <w:fldChar w:fldCharType="end"/>
          </w:r>
          <w:r>
            <w:rPr>
              <w:b/>
              <w:color w:val="auto"/>
              <w:sz w:val="24"/>
              <w:szCs w:val="24"/>
            </w:rPr>
            <w:fldChar w:fldCharType="end"/>
          </w:r>
        </w:p>
        <w:p>
          <w:pPr>
            <w:pStyle w:val="16"/>
            <w:spacing w:line="360" w:lineRule="auto"/>
            <w:ind w:firstLine="482" w:firstLineChars="200"/>
            <w:jc w:val="center"/>
            <w:rPr>
              <w:rFonts w:hAnsi="宋体" w:cs="Times New Roman"/>
              <w:b/>
              <w:bCs/>
              <w:color w:val="auto"/>
              <w:sz w:val="44"/>
              <w:szCs w:val="44"/>
            </w:rPr>
          </w:pPr>
          <w:r>
            <w:rPr>
              <w:rFonts w:hint="eastAsia" w:hAnsi="宋体"/>
              <w:b/>
              <w:bCs/>
              <w:color w:val="auto"/>
              <w:sz w:val="24"/>
              <w:szCs w:val="24"/>
            </w:rPr>
            <w:fldChar w:fldCharType="end"/>
          </w:r>
        </w:p>
      </w:sdtContent>
    </w:sdt>
    <w:p>
      <w:pPr>
        <w:pStyle w:val="3"/>
        <w:numPr>
          <w:ilvl w:val="0"/>
          <w:numId w:val="0"/>
        </w:numPr>
        <w:rPr>
          <w:color w:val="auto"/>
        </w:rPr>
        <w:sectPr>
          <w:headerReference r:id="rId9" w:type="default"/>
          <w:footerReference r:id="rId10" w:type="default"/>
          <w:pgSz w:w="11906" w:h="16838"/>
          <w:pgMar w:top="1134" w:right="1134" w:bottom="1134" w:left="1701" w:header="851" w:footer="992" w:gutter="0"/>
          <w:pgNumType w:fmt="decimal"/>
          <w:cols w:space="720" w:num="1"/>
          <w:docGrid w:type="lines" w:linePitch="312" w:charSpace="0"/>
        </w:sectPr>
      </w:pPr>
      <w:bookmarkStart w:id="1" w:name="_Toc28987"/>
      <w:bookmarkStart w:id="2" w:name="_Toc17298"/>
    </w:p>
    <w:p>
      <w:pPr>
        <w:pStyle w:val="3"/>
        <w:numPr>
          <w:ilvl w:val="0"/>
          <w:numId w:val="0"/>
        </w:numPr>
        <w:rPr>
          <w:color w:val="auto"/>
        </w:rPr>
      </w:pPr>
      <w:bookmarkStart w:id="3" w:name="_Toc31924"/>
      <w:r>
        <w:rPr>
          <w:rFonts w:hint="eastAsia" w:cs="宋体"/>
          <w:color w:val="auto"/>
        </w:rPr>
        <w:t>第一章询价邀请</w:t>
      </w:r>
      <w:bookmarkEnd w:id="1"/>
      <w:bookmarkEnd w:id="2"/>
      <w:bookmarkEnd w:id="3"/>
    </w:p>
    <w:p>
      <w:pPr>
        <w:pStyle w:val="2"/>
        <w:numPr>
          <w:ilvl w:val="0"/>
          <w:numId w:val="0"/>
        </w:numPr>
        <w:spacing w:before="120" w:line="360" w:lineRule="auto"/>
        <w:ind w:firstLine="723" w:firstLineChars="200"/>
        <w:rPr>
          <w:rFonts w:ascii="宋体" w:cs="Times New Roman"/>
          <w:b w:val="0"/>
          <w:bCs w:val="0"/>
          <w:color w:val="auto"/>
          <w:sz w:val="36"/>
          <w:szCs w:val="36"/>
        </w:rPr>
      </w:pPr>
      <w:r>
        <w:rPr>
          <w:rFonts w:ascii="宋体" w:cs="Times New Roman"/>
          <w:color w:val="auto"/>
          <w:sz w:val="36"/>
          <w:szCs w:val="36"/>
        </w:rPr>
        <w:tab/>
      </w:r>
      <w:bookmarkStart w:id="4" w:name="_Toc6080"/>
      <w:bookmarkStart w:id="5" w:name="_Toc28560"/>
      <w:bookmarkStart w:id="6" w:name="_Toc15222"/>
      <w:r>
        <w:rPr>
          <w:rFonts w:hint="eastAsia" w:ascii="宋体" w:hAnsi="宋体" w:cs="宋体"/>
          <w:color w:val="auto"/>
          <w:sz w:val="36"/>
          <w:szCs w:val="36"/>
        </w:rPr>
        <w:t>一、询价邀请</w:t>
      </w:r>
      <w:bookmarkEnd w:id="4"/>
      <w:bookmarkEnd w:id="5"/>
      <w:bookmarkEnd w:id="6"/>
    </w:p>
    <w:p>
      <w:pPr>
        <w:spacing w:before="120" w:line="360" w:lineRule="auto"/>
        <w:ind w:firstLine="480" w:firstLineChars="200"/>
        <w:rPr>
          <w:rFonts w:ascii="宋体"/>
          <w:color w:val="auto"/>
          <w:sz w:val="24"/>
          <w:szCs w:val="24"/>
          <w:u w:val="single"/>
        </w:rPr>
      </w:pPr>
      <w:r>
        <w:rPr>
          <w:rFonts w:hint="eastAsia" w:ascii="宋体" w:hAnsi="宋体" w:cs="宋体"/>
          <w:color w:val="auto"/>
          <w:sz w:val="24"/>
          <w:szCs w:val="24"/>
        </w:rPr>
        <w:t>受采购人委托，对本项目的下述货物、服务进行询价采购。现通过发布公告的方式，邀请所有符合本采购文件规定资格条件的供应商参加。</w:t>
      </w:r>
    </w:p>
    <w:p>
      <w:pPr>
        <w:spacing w:line="360" w:lineRule="auto"/>
        <w:ind w:firstLine="480" w:firstLineChars="200"/>
        <w:rPr>
          <w:rFonts w:ascii="宋体"/>
          <w:color w:val="auto"/>
          <w:sz w:val="24"/>
          <w:szCs w:val="24"/>
          <w:highlight w:val="red"/>
        </w:rPr>
      </w:pPr>
      <w:r>
        <w:rPr>
          <w:rFonts w:ascii="宋体" w:hAnsi="宋体" w:cs="宋体"/>
          <w:color w:val="auto"/>
          <w:sz w:val="24"/>
          <w:szCs w:val="24"/>
        </w:rPr>
        <w:t>1</w:t>
      </w:r>
      <w:r>
        <w:rPr>
          <w:rFonts w:hint="eastAsia" w:ascii="宋体" w:hAnsi="宋体" w:cs="宋体"/>
          <w:color w:val="auto"/>
          <w:sz w:val="24"/>
          <w:szCs w:val="24"/>
        </w:rPr>
        <w:t>、采购编号：</w:t>
      </w:r>
      <w:r>
        <w:rPr>
          <w:rFonts w:hint="eastAsia" w:ascii="宋体" w:hAnsi="宋体" w:cs="宋体"/>
          <w:color w:val="auto"/>
          <w:sz w:val="24"/>
          <w:szCs w:val="24"/>
          <w:lang w:eastAsia="zh-CN"/>
        </w:rPr>
        <w:t>卓招（岩）字2022-104-2号</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、项目名称：</w:t>
      </w:r>
      <w:r>
        <w:rPr>
          <w:rFonts w:hint="eastAsia" w:ascii="宋体" w:hAnsi="宋体" w:cs="宋体"/>
          <w:color w:val="auto"/>
          <w:sz w:val="24"/>
          <w:szCs w:val="24"/>
          <w:lang w:eastAsia="zh-CN"/>
        </w:rPr>
        <w:t>龙岩学院火灾自动报警系统维护改造服务项目货物类采购项目</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、询价货物名称、数量及主要技术规格：见后附：询价货物一览表</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、供应商资格要求：</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）凡有能力提供本采购文件所述货物及服务的，具有法人资格的境内供应商均可能成为合格的供应商。</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val="zh-CN"/>
        </w:rPr>
        <w:t>）</w:t>
      </w:r>
      <w:r>
        <w:rPr>
          <w:rFonts w:hint="eastAsia" w:ascii="宋体" w:hAnsi="宋体" w:cs="宋体"/>
          <w:color w:val="auto"/>
          <w:sz w:val="24"/>
          <w:szCs w:val="24"/>
        </w:rPr>
        <w:t>询价供应商</w:t>
      </w:r>
      <w:r>
        <w:rPr>
          <w:rFonts w:hint="eastAsia" w:ascii="宋体" w:hAnsi="宋体" w:cs="宋体"/>
          <w:color w:val="auto"/>
          <w:sz w:val="24"/>
          <w:szCs w:val="24"/>
          <w:lang w:val="zh-CN"/>
        </w:rPr>
        <w:t>必须具有有效的消</w:t>
      </w:r>
      <w:r>
        <w:rPr>
          <w:rFonts w:hint="eastAsia" w:ascii="宋体" w:hAnsi="宋体" w:cs="宋体"/>
          <w:color w:val="auto"/>
          <w:sz w:val="24"/>
          <w:szCs w:val="24"/>
        </w:rPr>
        <w:t>防设施工程专业承包二级及以上资质（含二级）</w:t>
      </w:r>
      <w:r>
        <w:rPr>
          <w:rFonts w:hint="eastAsia" w:ascii="宋体" w:hAnsi="宋体" w:cs="宋体"/>
          <w:color w:val="auto"/>
          <w:sz w:val="24"/>
          <w:szCs w:val="24"/>
          <w:lang w:val="zh-CN"/>
        </w:rPr>
        <w:t>和《施工企业安全生产许可证》。</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3</w:t>
      </w:r>
      <w:r>
        <w:rPr>
          <w:rFonts w:hint="eastAsia" w:ascii="宋体" w:hAnsi="宋体" w:cs="宋体"/>
          <w:color w:val="auto"/>
          <w:sz w:val="24"/>
          <w:szCs w:val="24"/>
        </w:rPr>
        <w:t>）询价供应商应遵守中国的有关法律、法规和规章的规定。</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）询价供应商之间存在下列互为关联关系的情形之一的，不得同时参加本项目询价：</w:t>
      </w:r>
    </w:p>
    <w:p>
      <w:pPr>
        <w:spacing w:line="360" w:lineRule="auto"/>
        <w:ind w:firstLine="720" w:firstLineChars="300"/>
        <w:rPr>
          <w:rFonts w:ascii="宋体"/>
          <w:color w:val="auto"/>
          <w:sz w:val="24"/>
          <w:szCs w:val="24"/>
        </w:rPr>
      </w:pPr>
      <w:r>
        <w:rPr>
          <w:rFonts w:ascii="宋体" w:hAnsi="宋体" w:cs="宋体"/>
          <w:color w:val="auto"/>
          <w:sz w:val="24"/>
          <w:szCs w:val="24"/>
        </w:rPr>
        <w:t xml:space="preserve">A </w:t>
      </w:r>
      <w:r>
        <w:rPr>
          <w:rFonts w:hint="eastAsia" w:ascii="宋体" w:hAnsi="宋体" w:cs="宋体"/>
          <w:color w:val="auto"/>
          <w:sz w:val="24"/>
          <w:szCs w:val="24"/>
        </w:rPr>
        <w:t>法定代表人为同一人的两个及两个以上法人；</w:t>
      </w:r>
    </w:p>
    <w:p>
      <w:pPr>
        <w:spacing w:line="360" w:lineRule="auto"/>
        <w:ind w:firstLine="720" w:firstLineChars="300"/>
        <w:rPr>
          <w:rFonts w:ascii="宋体"/>
          <w:color w:val="auto"/>
          <w:sz w:val="24"/>
          <w:szCs w:val="24"/>
        </w:rPr>
      </w:pPr>
      <w:r>
        <w:rPr>
          <w:rFonts w:ascii="宋体" w:hAnsi="宋体" w:cs="宋体"/>
          <w:color w:val="auto"/>
          <w:sz w:val="24"/>
          <w:szCs w:val="24"/>
        </w:rPr>
        <w:t xml:space="preserve">B </w:t>
      </w:r>
      <w:r>
        <w:rPr>
          <w:rFonts w:hint="eastAsia" w:ascii="宋体" w:hAnsi="宋体" w:cs="宋体"/>
          <w:color w:val="auto"/>
          <w:sz w:val="24"/>
          <w:szCs w:val="24"/>
        </w:rPr>
        <w:t>母公司、直接或间接持股</w:t>
      </w:r>
      <w:r>
        <w:rPr>
          <w:rFonts w:ascii="宋体" w:hAnsi="宋体" w:cs="宋体"/>
          <w:color w:val="auto"/>
          <w:sz w:val="24"/>
          <w:szCs w:val="24"/>
        </w:rPr>
        <w:t>50</w:t>
      </w:r>
      <w:r>
        <w:rPr>
          <w:rFonts w:hint="eastAsia" w:ascii="宋体" w:hAnsi="宋体" w:cs="宋体"/>
          <w:color w:val="auto"/>
          <w:sz w:val="24"/>
          <w:szCs w:val="24"/>
        </w:rPr>
        <w:t>％及以上的被投资公司</w:t>
      </w:r>
      <w:r>
        <w:rPr>
          <w:rFonts w:ascii="宋体" w:hAnsi="宋体" w:cs="宋体"/>
          <w:color w:val="auto"/>
          <w:sz w:val="24"/>
          <w:szCs w:val="24"/>
        </w:rPr>
        <w:t>;</w:t>
      </w:r>
    </w:p>
    <w:p>
      <w:pPr>
        <w:spacing w:line="360" w:lineRule="auto"/>
        <w:ind w:firstLine="720" w:firstLineChars="300"/>
        <w:rPr>
          <w:rFonts w:ascii="宋体"/>
          <w:color w:val="auto"/>
          <w:sz w:val="24"/>
          <w:szCs w:val="24"/>
        </w:rPr>
      </w:pPr>
      <w:r>
        <w:rPr>
          <w:rFonts w:ascii="宋体" w:hAnsi="宋体" w:cs="宋体"/>
          <w:color w:val="auto"/>
          <w:sz w:val="24"/>
          <w:szCs w:val="24"/>
        </w:rPr>
        <w:t xml:space="preserve">C </w:t>
      </w:r>
      <w:r>
        <w:rPr>
          <w:rFonts w:hint="eastAsia" w:ascii="宋体" w:hAnsi="宋体" w:cs="宋体"/>
          <w:color w:val="auto"/>
          <w:sz w:val="24"/>
          <w:szCs w:val="24"/>
        </w:rPr>
        <w:t>均为同一家母公司直接或间接持股</w:t>
      </w:r>
      <w:r>
        <w:rPr>
          <w:rFonts w:ascii="宋体" w:hAnsi="宋体" w:cs="宋体"/>
          <w:color w:val="auto"/>
          <w:sz w:val="24"/>
          <w:szCs w:val="24"/>
        </w:rPr>
        <w:t>50</w:t>
      </w:r>
      <w:r>
        <w:rPr>
          <w:rFonts w:hint="eastAsia" w:ascii="宋体" w:hAnsi="宋体" w:cs="宋体"/>
          <w:color w:val="auto"/>
          <w:sz w:val="24"/>
          <w:szCs w:val="24"/>
        </w:rPr>
        <w:t>％及以上的被投资公司。</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询价供应商如具备上述情形之一的，互为关联关系的询价供应商的询价响应将均被视为无效响应。</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）询价供应商不得与本次询价项下设计、编制技术规格和其它文件的公司或提供咨询服务的公司包括其附属机构有任何关联。</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6</w:t>
      </w:r>
      <w:r>
        <w:rPr>
          <w:rFonts w:hint="eastAsia" w:ascii="宋体" w:hAnsi="宋体" w:cs="宋体"/>
          <w:color w:val="auto"/>
          <w:sz w:val="24"/>
          <w:szCs w:val="24"/>
        </w:rPr>
        <w:t>）本项目不接受联合体询价。</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7</w:t>
      </w:r>
      <w:r>
        <w:rPr>
          <w:rFonts w:hint="eastAsia" w:ascii="宋体" w:hAnsi="宋体" w:cs="宋体"/>
          <w:color w:val="auto"/>
          <w:sz w:val="24"/>
          <w:szCs w:val="24"/>
        </w:rPr>
        <w:t>）询价供应商代理人在本次询价中只能接受一个询价供应商的委托参加询价。</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8</w:t>
      </w:r>
      <w:r>
        <w:rPr>
          <w:rFonts w:hint="eastAsia" w:ascii="宋体" w:hAnsi="宋体" w:cs="宋体"/>
          <w:color w:val="auto"/>
          <w:sz w:val="24"/>
          <w:szCs w:val="24"/>
        </w:rPr>
        <w:t>）询价供应商按本询价通知书规定缴纳询价保证金。</w:t>
      </w:r>
    </w:p>
    <w:p>
      <w:pPr>
        <w:wordWrap w:val="0"/>
        <w:spacing w:line="360" w:lineRule="auto"/>
        <w:ind w:firstLine="480" w:firstLineChars="200"/>
        <w:rPr>
          <w:rFonts w:hAnsi="宋体"/>
          <w:color w:val="auto"/>
          <w:sz w:val="24"/>
          <w:szCs w:val="24"/>
        </w:rPr>
      </w:pPr>
      <w:r>
        <w:rPr>
          <w:rFonts w:ascii="宋体" w:hAnsi="宋体" w:cs="宋体"/>
          <w:color w:val="auto"/>
          <w:sz w:val="24"/>
          <w:szCs w:val="24"/>
        </w:rPr>
        <w:t>5</w:t>
      </w:r>
      <w:r>
        <w:rPr>
          <w:rFonts w:hint="eastAsia" w:ascii="宋体" w:hAnsi="宋体" w:cs="宋体"/>
          <w:color w:val="auto"/>
          <w:sz w:val="24"/>
          <w:szCs w:val="24"/>
        </w:rPr>
        <w:t>、询价文件购买时间：</w:t>
      </w:r>
      <w:r>
        <w:rPr>
          <w:rFonts w:ascii="宋体" w:hAnsi="宋体" w:cs="宋体"/>
          <w:color w:val="auto"/>
          <w:sz w:val="24"/>
          <w:szCs w:val="24"/>
        </w:rPr>
        <w:t>202</w:t>
      </w:r>
      <w:r>
        <w:rPr>
          <w:rFonts w:hint="eastAsia" w:ascii="宋体" w:hAnsi="宋体" w:cs="宋体"/>
          <w:color w:val="auto"/>
          <w:sz w:val="24"/>
          <w:szCs w:val="24"/>
        </w:rPr>
        <w:t>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7</w:t>
      </w:r>
      <w:r>
        <w:rPr>
          <w:rFonts w:hint="eastAsia" w:ascii="宋体" w:hAnsi="宋体" w:cs="宋体"/>
          <w:color w:val="auto"/>
          <w:sz w:val="24"/>
          <w:szCs w:val="24"/>
        </w:rPr>
        <w:t>日至</w:t>
      </w:r>
      <w:r>
        <w:rPr>
          <w:rFonts w:ascii="宋体" w:hAnsi="宋体" w:cs="宋体"/>
          <w:color w:val="auto"/>
          <w:sz w:val="24"/>
          <w:szCs w:val="24"/>
        </w:rPr>
        <w:t>202</w:t>
      </w:r>
      <w:r>
        <w:rPr>
          <w:rFonts w:hint="eastAsia" w:ascii="宋体" w:hAnsi="宋体" w:cs="宋体"/>
          <w:color w:val="auto"/>
          <w:sz w:val="24"/>
          <w:szCs w:val="24"/>
        </w:rPr>
        <w:t>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12</w:t>
      </w:r>
      <w:r>
        <w:rPr>
          <w:rFonts w:hint="eastAsia" w:ascii="宋体" w:hAnsi="宋体" w:cs="宋体"/>
          <w:color w:val="auto"/>
          <w:sz w:val="24"/>
          <w:szCs w:val="24"/>
        </w:rPr>
        <w:t>日正常上班时间。</w:t>
      </w:r>
      <w:r>
        <w:rPr>
          <w:rFonts w:hint="eastAsia" w:hAnsi="宋体" w:cs="宋体"/>
          <w:color w:val="auto"/>
          <w:sz w:val="24"/>
          <w:szCs w:val="24"/>
        </w:rPr>
        <w:t>自询价公告发布之日起，供应商可通过卓知项目管理顾问有限公司购买并领取询价通知书或通过发布网站自行下载（供应商报名后需将《附：购买询价通知书情况表》填写完整后发送至xmly22@163.com电子信箱即视为书面确认。）</w:t>
      </w:r>
      <w:bookmarkStart w:id="98" w:name="_GoBack"/>
      <w:bookmarkEnd w:id="98"/>
    </w:p>
    <w:p>
      <w:pPr>
        <w:pStyle w:val="16"/>
        <w:spacing w:line="360" w:lineRule="auto"/>
        <w:ind w:firstLine="480" w:firstLineChars="200"/>
        <w:jc w:val="left"/>
        <w:rPr>
          <w:rFonts w:hAnsi="宋体" w:cs="Times New Roman"/>
          <w:color w:val="auto"/>
          <w:sz w:val="24"/>
          <w:szCs w:val="24"/>
        </w:rPr>
      </w:pPr>
      <w:r>
        <w:rPr>
          <w:rFonts w:hAnsi="宋体"/>
          <w:color w:val="auto"/>
          <w:sz w:val="24"/>
          <w:szCs w:val="24"/>
        </w:rPr>
        <w:t>6</w:t>
      </w:r>
      <w:r>
        <w:rPr>
          <w:rFonts w:hint="eastAsia" w:hAnsi="宋体"/>
          <w:color w:val="auto"/>
          <w:sz w:val="24"/>
          <w:szCs w:val="24"/>
        </w:rPr>
        <w:t>、询价通知书售价</w:t>
      </w:r>
      <w:r>
        <w:rPr>
          <w:rFonts w:hint="eastAsia" w:hAnsi="宋体"/>
          <w:color w:val="auto"/>
          <w:sz w:val="24"/>
          <w:szCs w:val="24"/>
          <w:lang w:val="en-US" w:eastAsia="zh-CN"/>
        </w:rPr>
        <w:t>0</w:t>
      </w:r>
      <w:r>
        <w:rPr>
          <w:rFonts w:hint="eastAsia" w:hAnsi="宋体"/>
          <w:color w:val="auto"/>
          <w:sz w:val="24"/>
          <w:szCs w:val="24"/>
        </w:rPr>
        <w:t>元人民币</w:t>
      </w:r>
      <w:r>
        <w:rPr>
          <w:rFonts w:hAnsi="宋体"/>
          <w:color w:val="auto"/>
          <w:sz w:val="24"/>
          <w:szCs w:val="24"/>
        </w:rPr>
        <w:t>/</w:t>
      </w:r>
      <w:r>
        <w:rPr>
          <w:rFonts w:hint="eastAsia" w:hAnsi="宋体"/>
          <w:color w:val="auto"/>
          <w:sz w:val="24"/>
          <w:szCs w:val="24"/>
        </w:rPr>
        <w:t>份。纸质询价通知书与电子询价通知书具有同等法律效力，询价通知书售后不退。</w:t>
      </w:r>
    </w:p>
    <w:p>
      <w:pPr>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、递交询价响应文件（含相关原件）地点、开始及截止时间：</w:t>
      </w:r>
    </w:p>
    <w:p>
      <w:pPr>
        <w:spacing w:line="360" w:lineRule="auto"/>
        <w:ind w:firstLine="480" w:firstLineChars="200"/>
        <w:rPr>
          <w:rFonts w:ascii="宋体"/>
          <w:color w:val="auto"/>
          <w:sz w:val="24"/>
          <w:szCs w:val="24"/>
        </w:rPr>
      </w:pPr>
      <w:r>
        <w:rPr>
          <w:rFonts w:hint="eastAsia" w:ascii="宋体" w:hAnsi="宋体" w:cs="宋体"/>
          <w:color w:val="auto"/>
          <w:sz w:val="24"/>
          <w:szCs w:val="24"/>
        </w:rPr>
        <w:t>递交询价响应文件地点：</w:t>
      </w:r>
      <w:r>
        <w:rPr>
          <w:rFonts w:hint="eastAsia" w:ascii="宋体" w:hAnsi="宋体"/>
          <w:color w:val="auto"/>
          <w:sz w:val="24"/>
        </w:rPr>
        <w:t>卓知项目管理顾问有限公司龙岩分公司开标室（地址：龙岩市新罗区龙岩大道383号万阳城国际商贸中心B栋1梯1802）</w:t>
      </w:r>
      <w:r>
        <w:rPr>
          <w:rFonts w:hint="eastAsia" w:ascii="宋体" w:hAnsi="宋体" w:cs="宋体"/>
          <w:color w:val="auto"/>
          <w:sz w:val="24"/>
          <w:szCs w:val="24"/>
        </w:rPr>
        <w:t>。</w:t>
      </w:r>
    </w:p>
    <w:p>
      <w:pPr>
        <w:spacing w:line="360" w:lineRule="auto"/>
        <w:ind w:firstLine="480" w:firstLineChars="200"/>
        <w:rPr>
          <w:rFonts w:ascii="Arial" w:hAnsi="Arial" w:cs="Arial"/>
          <w:color w:val="auto"/>
          <w:sz w:val="24"/>
          <w:szCs w:val="24"/>
        </w:rPr>
      </w:pPr>
      <w:r>
        <w:rPr>
          <w:rFonts w:hint="eastAsia" w:ascii="宋体" w:hAnsi="宋体" w:cs="宋体"/>
          <w:color w:val="auto"/>
          <w:sz w:val="24"/>
          <w:szCs w:val="24"/>
        </w:rPr>
        <w:t>递交询价响应文件开始时间：2022年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cs="宋体"/>
          <w:color w:val="auto"/>
          <w:sz w:val="24"/>
          <w:szCs w:val="24"/>
        </w:rPr>
        <w:t>日</w:t>
      </w:r>
      <w:r>
        <w:rPr>
          <w:rFonts w:hint="eastAsia" w:ascii="宋体" w:hAnsi="宋体" w:cs="宋体"/>
          <w:color w:val="auto"/>
          <w:sz w:val="24"/>
          <w:szCs w:val="24"/>
          <w:lang w:val="en-US" w:eastAsia="zh-CN"/>
        </w:rPr>
        <w:t>8</w:t>
      </w:r>
      <w:r>
        <w:rPr>
          <w:rFonts w:hint="eastAsia" w:ascii="宋体" w:hAnsi="宋体" w:cs="宋体"/>
          <w:color w:val="auto"/>
          <w:sz w:val="24"/>
          <w:szCs w:val="24"/>
        </w:rPr>
        <w:t>:</w:t>
      </w:r>
      <w:r>
        <w:rPr>
          <w:rFonts w:hint="eastAsia" w:ascii="宋体" w:hAnsi="宋体" w:cs="宋体"/>
          <w:color w:val="auto"/>
          <w:sz w:val="24"/>
          <w:szCs w:val="24"/>
          <w:lang w:val="en-US" w:eastAsia="zh-CN"/>
        </w:rPr>
        <w:t>3</w:t>
      </w:r>
      <w:r>
        <w:rPr>
          <w:rFonts w:hint="eastAsia" w:ascii="宋体" w:hAnsi="宋体" w:cs="宋体"/>
          <w:color w:val="auto"/>
          <w:sz w:val="24"/>
          <w:szCs w:val="24"/>
        </w:rPr>
        <w:t>0；（北京时间）</w:t>
      </w:r>
    </w:p>
    <w:p>
      <w:pPr>
        <w:spacing w:line="360" w:lineRule="auto"/>
        <w:ind w:firstLine="480" w:firstLineChars="200"/>
        <w:rPr>
          <w:rFonts w:ascii="Arial" w:hAnsi="Arial" w:cs="Arial"/>
          <w:color w:val="auto"/>
          <w:sz w:val="24"/>
          <w:szCs w:val="24"/>
        </w:rPr>
      </w:pPr>
      <w:r>
        <w:rPr>
          <w:rFonts w:hint="eastAsia" w:ascii="宋体" w:hAnsi="宋体" w:cs="宋体"/>
          <w:color w:val="auto"/>
          <w:sz w:val="24"/>
          <w:szCs w:val="24"/>
        </w:rPr>
        <w:t>递交询价响应文件截止时间：2022年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cs="宋体"/>
          <w:color w:val="auto"/>
          <w:sz w:val="24"/>
          <w:szCs w:val="24"/>
        </w:rPr>
        <w:t>日</w:t>
      </w:r>
      <w:r>
        <w:rPr>
          <w:rFonts w:hint="eastAsia" w:ascii="宋体" w:hAnsi="宋体" w:cs="宋体"/>
          <w:color w:val="auto"/>
          <w:sz w:val="24"/>
          <w:szCs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w:t>
      </w:r>
      <w:r>
        <w:rPr>
          <w:rFonts w:hint="eastAsia" w:ascii="Arial" w:hAnsi="宋体" w:cs="宋体"/>
          <w:color w:val="auto"/>
          <w:sz w:val="24"/>
          <w:szCs w:val="24"/>
        </w:rPr>
        <w:t>；</w:t>
      </w:r>
      <w:r>
        <w:rPr>
          <w:rFonts w:hint="eastAsia" w:ascii="宋体" w:hAnsi="宋体" w:cs="宋体"/>
          <w:color w:val="auto"/>
          <w:sz w:val="24"/>
          <w:szCs w:val="24"/>
        </w:rPr>
        <w:t>（北京时间）</w:t>
      </w:r>
    </w:p>
    <w:p>
      <w:pPr>
        <w:spacing w:line="360" w:lineRule="auto"/>
        <w:ind w:firstLine="480" w:firstLineChars="200"/>
        <w:rPr>
          <w:rFonts w:ascii="宋体"/>
          <w:color w:val="auto"/>
          <w:sz w:val="24"/>
          <w:szCs w:val="24"/>
        </w:rPr>
      </w:pPr>
      <w:r>
        <w:rPr>
          <w:rFonts w:hint="eastAsia" w:ascii="宋体" w:hAnsi="宋体" w:cs="宋体"/>
          <w:color w:val="auto"/>
          <w:sz w:val="24"/>
          <w:szCs w:val="24"/>
        </w:rPr>
        <w:t>逾期收到的或不符合规定的询价响应文件将被拒绝。递交询价响应文件截止时间以接受询价响应文件地点时钟显示的时间为准。</w:t>
      </w:r>
    </w:p>
    <w:p>
      <w:pPr>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、询价开始时间、询价地点</w:t>
      </w:r>
      <w:r>
        <w:rPr>
          <w:rFonts w:ascii="宋体" w:hAnsi="宋体" w:cs="宋体"/>
          <w:color w:val="auto"/>
          <w:sz w:val="24"/>
          <w:szCs w:val="24"/>
        </w:rPr>
        <w:t>:</w:t>
      </w:r>
    </w:p>
    <w:p>
      <w:pPr>
        <w:spacing w:line="360" w:lineRule="auto"/>
        <w:ind w:firstLine="480" w:firstLineChars="200"/>
        <w:rPr>
          <w:rFonts w:ascii="Arial" w:hAnsi="Arial" w:cs="Arial"/>
          <w:color w:val="auto"/>
          <w:sz w:val="24"/>
          <w:szCs w:val="24"/>
        </w:rPr>
      </w:pPr>
      <w:r>
        <w:rPr>
          <w:rFonts w:hint="eastAsia" w:ascii="宋体" w:hAnsi="宋体" w:cs="宋体"/>
          <w:color w:val="auto"/>
          <w:sz w:val="24"/>
          <w:szCs w:val="24"/>
        </w:rPr>
        <w:t>询价开始时间</w:t>
      </w:r>
      <w:r>
        <w:rPr>
          <w:rFonts w:hint="eastAsia" w:ascii="Arial" w:hAnsi="宋体" w:cs="宋体"/>
          <w:color w:val="auto"/>
          <w:sz w:val="24"/>
          <w:szCs w:val="24"/>
        </w:rPr>
        <w:t>：</w:t>
      </w:r>
      <w:r>
        <w:rPr>
          <w:rFonts w:hint="eastAsia" w:ascii="宋体" w:hAnsi="宋体" w:cs="宋体"/>
          <w:color w:val="auto"/>
          <w:sz w:val="24"/>
          <w:szCs w:val="24"/>
        </w:rPr>
        <w:t>2022年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cs="宋体"/>
          <w:color w:val="auto"/>
          <w:sz w:val="24"/>
          <w:szCs w:val="24"/>
        </w:rPr>
        <w:t>日</w:t>
      </w:r>
      <w:r>
        <w:rPr>
          <w:rFonts w:hint="eastAsia" w:ascii="宋体" w:hAnsi="宋体" w:cs="宋体"/>
          <w:color w:val="auto"/>
          <w:sz w:val="24"/>
          <w:szCs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w:t>
      </w:r>
      <w:r>
        <w:rPr>
          <w:rFonts w:hint="eastAsia" w:ascii="Arial" w:hAnsi="Arial"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询价地点：</w:t>
      </w:r>
      <w:r>
        <w:rPr>
          <w:rFonts w:hint="eastAsia" w:ascii="宋体" w:hAnsi="宋体"/>
          <w:color w:val="auto"/>
          <w:sz w:val="24"/>
        </w:rPr>
        <w:t>卓知项目管理顾问有限公司龙岩分公司开标室（地址：龙岩市新罗区龙岩大道383号万阳城国际商贸中心B栋1梯1802）</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、供应商对本次询价活动事项提出疑问的，请在递交询价响应文件截止时间</w:t>
      </w:r>
      <w:r>
        <w:rPr>
          <w:rFonts w:ascii="宋体" w:hAnsi="宋体" w:cs="宋体"/>
          <w:color w:val="auto"/>
          <w:sz w:val="24"/>
          <w:szCs w:val="24"/>
        </w:rPr>
        <w:t>2</w:t>
      </w:r>
      <w:r>
        <w:rPr>
          <w:rFonts w:hint="eastAsia" w:ascii="宋体" w:hAnsi="宋体" w:cs="宋体"/>
          <w:color w:val="auto"/>
          <w:sz w:val="24"/>
          <w:szCs w:val="24"/>
        </w:rPr>
        <w:t>个工作日之前</w:t>
      </w:r>
      <w:r>
        <w:rPr>
          <w:rFonts w:ascii="宋体" w:hAnsi="宋体" w:cs="宋体"/>
          <w:color w:val="auto"/>
          <w:sz w:val="24"/>
          <w:szCs w:val="24"/>
        </w:rPr>
        <w:t xml:space="preserve">, </w:t>
      </w:r>
      <w:r>
        <w:rPr>
          <w:rFonts w:hint="eastAsia" w:ascii="宋体" w:hAnsi="宋体" w:cs="宋体"/>
          <w:color w:val="auto"/>
          <w:sz w:val="24"/>
          <w:szCs w:val="24"/>
        </w:rPr>
        <w:t>以书面、信函原件的形式与招标代理机构联系。</w:t>
      </w:r>
    </w:p>
    <w:p>
      <w:pPr>
        <w:wordWrap w:val="0"/>
        <w:spacing w:line="360" w:lineRule="auto"/>
        <w:ind w:firstLine="480" w:firstLineChars="200"/>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、以上如有变更，卓知项目管理顾问有限公司会通过</w:t>
      </w:r>
      <w:r>
        <w:rPr>
          <w:rFonts w:hint="eastAsia" w:ascii="宋体" w:hAnsi="宋体"/>
          <w:b/>
          <w:color w:val="auto"/>
          <w:sz w:val="24"/>
          <w:u w:val="single"/>
        </w:rPr>
        <w:t>卓知项目管理顾问有限公司龙岩分公司网站（www.zzeccly.com）、</w:t>
      </w:r>
      <w:r>
        <w:rPr>
          <w:rFonts w:hint="eastAsia" w:ascii="宋体" w:hAnsi="宋体"/>
          <w:b/>
          <w:color w:val="auto"/>
          <w:sz w:val="24"/>
          <w:u w:val="single"/>
          <w:lang w:eastAsia="zh-CN"/>
        </w:rPr>
        <w:t>中国政府采购网（www.ccgp.gov.cn）</w:t>
      </w:r>
      <w:r>
        <w:rPr>
          <w:rFonts w:hint="eastAsia" w:cs="宋体"/>
          <w:color w:val="auto"/>
          <w:sz w:val="24"/>
          <w:szCs w:val="24"/>
        </w:rPr>
        <w:t>通知</w:t>
      </w:r>
      <w:r>
        <w:rPr>
          <w:rFonts w:hint="eastAsia" w:ascii="宋体" w:hAnsi="宋体" w:cs="宋体"/>
          <w:color w:val="auto"/>
          <w:sz w:val="24"/>
          <w:szCs w:val="24"/>
        </w:rPr>
        <w:t>，请供应商关注。</w:t>
      </w:r>
    </w:p>
    <w:p>
      <w:pPr>
        <w:spacing w:line="360" w:lineRule="auto"/>
        <w:ind w:firstLine="482" w:firstLineChars="200"/>
        <w:rPr>
          <w:rFonts w:ascii="宋体"/>
          <w:b/>
          <w:bCs/>
          <w:color w:val="auto"/>
          <w:sz w:val="24"/>
          <w:szCs w:val="24"/>
        </w:rPr>
      </w:pPr>
      <w:r>
        <w:rPr>
          <w:rFonts w:ascii="宋体" w:hAnsi="宋体" w:cs="宋体"/>
          <w:b/>
          <w:bCs/>
          <w:color w:val="auto"/>
          <w:sz w:val="24"/>
          <w:szCs w:val="24"/>
        </w:rPr>
        <w:t>11</w:t>
      </w:r>
      <w:r>
        <w:rPr>
          <w:rFonts w:hint="eastAsia" w:ascii="宋体" w:hAnsi="宋体" w:cs="宋体"/>
          <w:b/>
          <w:bCs/>
          <w:color w:val="auto"/>
          <w:sz w:val="24"/>
          <w:szCs w:val="24"/>
        </w:rPr>
        <w:t>、采购单位：龙岩学院</w:t>
      </w:r>
    </w:p>
    <w:p>
      <w:pPr>
        <w:spacing w:line="360" w:lineRule="auto"/>
        <w:ind w:firstLine="480" w:firstLineChars="200"/>
        <w:rPr>
          <w:rFonts w:ascii="宋体"/>
          <w:color w:val="auto"/>
          <w:sz w:val="24"/>
          <w:szCs w:val="24"/>
        </w:rPr>
      </w:pPr>
      <w:r>
        <w:rPr>
          <w:rFonts w:hint="eastAsia" w:ascii="宋体" w:hAnsi="宋体" w:cs="宋体"/>
          <w:color w:val="auto"/>
          <w:sz w:val="24"/>
          <w:szCs w:val="24"/>
        </w:rPr>
        <w:t>联系人：</w:t>
      </w:r>
      <w:r>
        <w:rPr>
          <w:rFonts w:hint="eastAsia" w:ascii="宋体" w:hAnsi="宋体"/>
          <w:bCs/>
          <w:color w:val="auto"/>
          <w:sz w:val="24"/>
          <w:lang w:eastAsia="zh-CN"/>
        </w:rPr>
        <w:t>李老师</w:t>
      </w:r>
      <w:r>
        <w:rPr>
          <w:rFonts w:hint="eastAsia" w:ascii="宋体" w:hAnsi="宋体" w:cs="宋体"/>
          <w:color w:val="auto"/>
          <w:kern w:val="0"/>
          <w:sz w:val="24"/>
          <w:szCs w:val="24"/>
          <w:lang w:val="en-US" w:eastAsia="zh-CN"/>
        </w:rPr>
        <w:t xml:space="preserve">    </w:t>
      </w:r>
      <w:r>
        <w:rPr>
          <w:rFonts w:hint="eastAsia" w:ascii="宋体" w:hAnsi="宋体" w:cs="宋体"/>
          <w:color w:val="auto"/>
          <w:sz w:val="24"/>
          <w:szCs w:val="24"/>
        </w:rPr>
        <w:t>电话：</w:t>
      </w:r>
      <w:r>
        <w:rPr>
          <w:rFonts w:hint="eastAsia" w:ascii="宋体" w:hAnsi="宋体"/>
          <w:bCs/>
          <w:color w:val="auto"/>
          <w:sz w:val="24"/>
          <w:lang w:val="en-US" w:eastAsia="zh-CN"/>
        </w:rPr>
        <w:t>0597-3083376</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地址：</w:t>
      </w:r>
      <w:r>
        <w:rPr>
          <w:rFonts w:hint="eastAsia" w:ascii="宋体" w:hAnsi="宋体"/>
          <w:bCs/>
          <w:color w:val="auto"/>
          <w:sz w:val="24"/>
        </w:rPr>
        <w:t>福建省龙岩市新罗区东肖街道东肖北路1号</w:t>
      </w:r>
    </w:p>
    <w:p>
      <w:pPr>
        <w:spacing w:line="360" w:lineRule="auto"/>
        <w:ind w:firstLine="480" w:firstLineChars="200"/>
        <w:rPr>
          <w:rFonts w:ascii="宋体"/>
          <w:color w:val="auto"/>
          <w:sz w:val="24"/>
          <w:szCs w:val="24"/>
        </w:rPr>
      </w:pPr>
      <w:r>
        <w:rPr>
          <w:rFonts w:hint="eastAsia" w:ascii="宋体" w:hAnsi="宋体" w:cs="宋体"/>
          <w:color w:val="auto"/>
          <w:sz w:val="24"/>
          <w:szCs w:val="24"/>
        </w:rPr>
        <w:t>邮编：</w:t>
      </w:r>
      <w:r>
        <w:rPr>
          <w:rFonts w:ascii="宋体" w:hAnsi="宋体" w:cs="宋体"/>
          <w:color w:val="auto"/>
          <w:sz w:val="24"/>
          <w:szCs w:val="24"/>
        </w:rPr>
        <w:t>364000</w:t>
      </w:r>
    </w:p>
    <w:p>
      <w:pPr>
        <w:spacing w:line="360" w:lineRule="auto"/>
        <w:ind w:firstLine="482" w:firstLineChars="200"/>
        <w:outlineLvl w:val="1"/>
        <w:rPr>
          <w:rFonts w:ascii="宋体"/>
          <w:b/>
          <w:bCs/>
          <w:color w:val="auto"/>
          <w:sz w:val="24"/>
          <w:szCs w:val="24"/>
        </w:rPr>
      </w:pPr>
      <w:bookmarkStart w:id="7" w:name="_Toc26242"/>
      <w:r>
        <w:rPr>
          <w:rFonts w:hint="eastAsia" w:ascii="宋体" w:hAnsi="宋体" w:cs="宋体"/>
          <w:b/>
          <w:bCs/>
          <w:color w:val="auto"/>
          <w:sz w:val="24"/>
          <w:szCs w:val="24"/>
          <w:lang w:eastAsia="zh-CN"/>
        </w:rPr>
        <w:t>采购</w:t>
      </w:r>
      <w:r>
        <w:rPr>
          <w:rFonts w:hint="eastAsia" w:ascii="宋体" w:hAnsi="宋体" w:cs="宋体"/>
          <w:b/>
          <w:bCs/>
          <w:color w:val="auto"/>
          <w:sz w:val="24"/>
          <w:szCs w:val="24"/>
        </w:rPr>
        <w:t>代理机构：</w:t>
      </w:r>
      <w:bookmarkEnd w:id="7"/>
      <w:r>
        <w:rPr>
          <w:rFonts w:hint="eastAsia" w:ascii="宋体" w:hAnsi="宋体" w:cs="宋体"/>
          <w:b/>
          <w:bCs/>
          <w:color w:val="auto"/>
          <w:sz w:val="24"/>
          <w:szCs w:val="24"/>
        </w:rPr>
        <w:t>卓知项目管理顾问有限公司</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地址：</w:t>
      </w:r>
      <w:r>
        <w:rPr>
          <w:rFonts w:hint="eastAsia" w:ascii="宋体" w:hAnsi="宋体"/>
          <w:color w:val="auto"/>
          <w:sz w:val="24"/>
        </w:rPr>
        <w:t xml:space="preserve">龙岩市新罗区龙岩大道383号万阳城国际商贸中心B栋1梯1802 </w:t>
      </w:r>
    </w:p>
    <w:p>
      <w:pPr>
        <w:spacing w:line="360" w:lineRule="auto"/>
        <w:ind w:firstLine="480" w:firstLineChars="200"/>
        <w:rPr>
          <w:rFonts w:ascii="宋体"/>
          <w:color w:val="auto"/>
          <w:sz w:val="24"/>
          <w:szCs w:val="24"/>
        </w:rPr>
      </w:pPr>
      <w:r>
        <w:rPr>
          <w:rFonts w:hint="eastAsia" w:ascii="宋体" w:hAnsi="宋体" w:cs="宋体"/>
          <w:color w:val="auto"/>
          <w:sz w:val="24"/>
          <w:szCs w:val="24"/>
        </w:rPr>
        <w:t>邮编：</w:t>
      </w:r>
      <w:r>
        <w:rPr>
          <w:rFonts w:ascii="宋体" w:hAnsi="宋体" w:cs="宋体"/>
          <w:color w:val="auto"/>
          <w:sz w:val="24"/>
          <w:szCs w:val="24"/>
        </w:rPr>
        <w:t>364000</w:t>
      </w:r>
    </w:p>
    <w:p>
      <w:pPr>
        <w:spacing w:line="360" w:lineRule="auto"/>
        <w:ind w:firstLine="480" w:firstLineChars="200"/>
        <w:rPr>
          <w:rFonts w:ascii="宋体"/>
          <w:color w:val="auto"/>
          <w:sz w:val="24"/>
          <w:szCs w:val="24"/>
        </w:rPr>
      </w:pPr>
      <w:r>
        <w:rPr>
          <w:rFonts w:hint="eastAsia" w:ascii="宋体" w:hAnsi="宋体" w:cs="宋体"/>
          <w:color w:val="auto"/>
          <w:sz w:val="24"/>
          <w:szCs w:val="24"/>
        </w:rPr>
        <w:t>项目联系人：</w:t>
      </w:r>
      <w:r>
        <w:rPr>
          <w:rFonts w:hint="eastAsia" w:ascii="宋体" w:hAnsi="宋体"/>
          <w:color w:val="auto"/>
          <w:sz w:val="24"/>
        </w:rPr>
        <w:t>曾宏伟、</w:t>
      </w:r>
      <w:r>
        <w:rPr>
          <w:rFonts w:hint="eastAsia" w:ascii="宋体" w:hAnsi="宋体"/>
          <w:color w:val="auto"/>
          <w:sz w:val="24"/>
          <w:lang w:eastAsia="zh-CN"/>
        </w:rPr>
        <w:t>曾艳萍</w:t>
      </w:r>
    </w:p>
    <w:p>
      <w:pPr>
        <w:spacing w:line="360" w:lineRule="auto"/>
        <w:ind w:firstLine="480" w:firstLineChars="200"/>
        <w:rPr>
          <w:rFonts w:ascii="宋体"/>
          <w:color w:val="auto"/>
          <w:sz w:val="24"/>
          <w:szCs w:val="24"/>
        </w:rPr>
      </w:pPr>
      <w:r>
        <w:rPr>
          <w:rFonts w:hint="eastAsia" w:ascii="宋体" w:hAnsi="宋体" w:cs="宋体"/>
          <w:color w:val="auto"/>
          <w:sz w:val="24"/>
          <w:szCs w:val="24"/>
        </w:rPr>
        <w:t>电话：</w:t>
      </w:r>
      <w:r>
        <w:rPr>
          <w:rFonts w:hint="eastAsia" w:ascii="宋体" w:hAnsi="宋体"/>
          <w:color w:val="auto"/>
          <w:sz w:val="24"/>
        </w:rPr>
        <w:t>0597-2291138</w:t>
      </w:r>
    </w:p>
    <w:p>
      <w:pPr>
        <w:spacing w:line="360" w:lineRule="auto"/>
        <w:ind w:firstLine="480" w:firstLineChars="200"/>
        <w:rPr>
          <w:rFonts w:ascii="宋体"/>
          <w:color w:val="auto"/>
          <w:sz w:val="24"/>
          <w:szCs w:val="24"/>
        </w:rPr>
      </w:pPr>
      <w:r>
        <w:rPr>
          <w:rFonts w:hint="eastAsia" w:ascii="宋体" w:hAnsi="宋体" w:cs="宋体"/>
          <w:color w:val="auto"/>
          <w:sz w:val="24"/>
          <w:szCs w:val="24"/>
        </w:rPr>
        <w:t>电子信箱：</w:t>
      </w:r>
      <w:r>
        <w:rPr>
          <w:color w:val="auto"/>
        </w:rPr>
        <w:fldChar w:fldCharType="begin"/>
      </w:r>
      <w:r>
        <w:rPr>
          <w:color w:val="auto"/>
        </w:rPr>
        <w:instrText xml:space="preserve"> HYPERLINK "mailto:lyxlcgzx@163.com" </w:instrText>
      </w:r>
      <w:r>
        <w:rPr>
          <w:color w:val="auto"/>
        </w:rPr>
        <w:fldChar w:fldCharType="separate"/>
      </w:r>
      <w:r>
        <w:rPr>
          <w:rStyle w:val="34"/>
          <w:rFonts w:hint="eastAsia" w:ascii="宋体" w:hAnsi="宋体"/>
          <w:color w:val="auto"/>
          <w:sz w:val="24"/>
        </w:rPr>
        <w:t>xmly22@163.com</w:t>
      </w:r>
      <w:r>
        <w:rPr>
          <w:rStyle w:val="34"/>
          <w:rFonts w:hint="eastAsia" w:ascii="宋体" w:hAnsi="宋体"/>
          <w:color w:val="auto"/>
          <w:sz w:val="24"/>
        </w:rPr>
        <w:fldChar w:fldCharType="end"/>
      </w:r>
      <w:r>
        <w:rPr>
          <w:rFonts w:hint="eastAsia" w:ascii="宋体" w:hAnsi="宋体" w:cs="宋体"/>
          <w:b/>
          <w:bCs/>
          <w:color w:val="auto"/>
          <w:sz w:val="24"/>
          <w:szCs w:val="24"/>
        </w:rPr>
        <w:t>（供应商报名后需将《</w:t>
      </w:r>
      <w:r>
        <w:rPr>
          <w:rFonts w:hint="eastAsia" w:hAnsi="宋体" w:cs="宋体"/>
          <w:b/>
          <w:bCs/>
          <w:color w:val="auto"/>
          <w:sz w:val="24"/>
          <w:szCs w:val="24"/>
        </w:rPr>
        <w:t>附：购买询价通知书情况表</w:t>
      </w:r>
      <w:r>
        <w:rPr>
          <w:rFonts w:hint="eastAsia" w:ascii="宋体" w:hAnsi="宋体" w:cs="宋体"/>
          <w:b/>
          <w:bCs/>
          <w:color w:val="auto"/>
          <w:sz w:val="24"/>
          <w:szCs w:val="24"/>
        </w:rPr>
        <w:t>》填写完整后发送至此电子信箱即视为书面确认。）</w:t>
      </w:r>
    </w:p>
    <w:p>
      <w:pPr>
        <w:spacing w:line="360" w:lineRule="auto"/>
        <w:ind w:firstLine="480" w:firstLineChars="200"/>
        <w:rPr>
          <w:rFonts w:ascii="宋体"/>
          <w:color w:val="auto"/>
          <w:sz w:val="24"/>
          <w:szCs w:val="24"/>
        </w:rPr>
      </w:pPr>
      <w:r>
        <w:rPr>
          <w:rFonts w:hint="eastAsia" w:ascii="宋体" w:hAnsi="宋体" w:cs="宋体"/>
          <w:color w:val="auto"/>
          <w:sz w:val="24"/>
          <w:szCs w:val="24"/>
        </w:rPr>
        <w:t>购买询价通知书及缴交保证金查询联系人：</w:t>
      </w:r>
      <w:r>
        <w:rPr>
          <w:rFonts w:hint="eastAsia" w:ascii="宋体" w:hAnsi="宋体" w:cs="宋体"/>
          <w:color w:val="auto"/>
          <w:sz w:val="24"/>
          <w:szCs w:val="24"/>
          <w:lang w:eastAsia="zh-CN"/>
        </w:rPr>
        <w:t>黎</w:t>
      </w:r>
      <w:r>
        <w:rPr>
          <w:rFonts w:hint="eastAsia" w:ascii="宋体" w:hAnsi="宋体" w:cs="宋体"/>
          <w:color w:val="auto"/>
          <w:sz w:val="24"/>
          <w:szCs w:val="24"/>
        </w:rPr>
        <w:t>女士</w:t>
      </w:r>
    </w:p>
    <w:p>
      <w:pPr>
        <w:spacing w:line="360" w:lineRule="auto"/>
        <w:ind w:firstLine="480" w:firstLineChars="200"/>
        <w:rPr>
          <w:rFonts w:ascii="宋体"/>
          <w:color w:val="auto"/>
          <w:sz w:val="24"/>
          <w:szCs w:val="24"/>
        </w:rPr>
      </w:pPr>
      <w:r>
        <w:rPr>
          <w:rFonts w:hint="eastAsia" w:ascii="宋体" w:hAnsi="宋体" w:cs="宋体"/>
          <w:color w:val="auto"/>
          <w:sz w:val="24"/>
          <w:szCs w:val="24"/>
        </w:rPr>
        <w:t>电话：</w:t>
      </w:r>
      <w:r>
        <w:rPr>
          <w:rFonts w:ascii="宋体" w:hAnsi="宋体" w:cs="宋体"/>
          <w:color w:val="auto"/>
          <w:sz w:val="24"/>
          <w:szCs w:val="24"/>
        </w:rPr>
        <w:t>0597-</w:t>
      </w:r>
      <w:r>
        <w:rPr>
          <w:rFonts w:hint="eastAsia" w:ascii="宋体" w:hAnsi="宋体" w:cs="宋体"/>
          <w:color w:val="auto"/>
          <w:sz w:val="24"/>
          <w:szCs w:val="24"/>
        </w:rPr>
        <w:t>2291138</w:t>
      </w:r>
    </w:p>
    <w:p>
      <w:pPr>
        <w:spacing w:line="360" w:lineRule="auto"/>
        <w:ind w:firstLine="480" w:firstLineChars="200"/>
        <w:rPr>
          <w:rFonts w:ascii="宋体"/>
          <w:color w:val="auto"/>
          <w:sz w:val="24"/>
          <w:szCs w:val="24"/>
        </w:rPr>
      </w:pPr>
      <w:r>
        <w:rPr>
          <w:rFonts w:hint="eastAsia" w:ascii="宋体" w:hAnsi="宋体" w:cs="宋体"/>
          <w:color w:val="auto"/>
          <w:sz w:val="24"/>
          <w:szCs w:val="24"/>
        </w:rPr>
        <w:t>附：询价货物一览表</w:t>
      </w:r>
    </w:p>
    <w:p>
      <w:pPr>
        <w:pStyle w:val="2"/>
        <w:numPr>
          <w:ilvl w:val="0"/>
          <w:numId w:val="5"/>
        </w:numPr>
        <w:spacing w:before="120" w:line="360" w:lineRule="auto"/>
        <w:ind w:firstLine="723" w:firstLineChars="200"/>
        <w:rPr>
          <w:rFonts w:ascii="宋体" w:cs="Times New Roman"/>
          <w:color w:val="auto"/>
          <w:sz w:val="36"/>
          <w:szCs w:val="36"/>
        </w:rPr>
      </w:pPr>
      <w:bookmarkStart w:id="8" w:name="_Toc28135"/>
      <w:bookmarkStart w:id="9" w:name="_Toc8334"/>
      <w:bookmarkStart w:id="10" w:name="_Toc26256"/>
      <w:r>
        <w:rPr>
          <w:rFonts w:hint="eastAsia" w:ascii="宋体" w:hAnsi="宋体" w:cs="宋体"/>
          <w:color w:val="auto"/>
          <w:sz w:val="36"/>
          <w:szCs w:val="36"/>
        </w:rPr>
        <w:t>询价货物一览表</w:t>
      </w:r>
      <w:bookmarkEnd w:id="8"/>
      <w:bookmarkEnd w:id="9"/>
      <w:bookmarkEnd w:id="10"/>
    </w:p>
    <w:p>
      <w:pPr>
        <w:spacing w:line="360" w:lineRule="auto"/>
        <w:ind w:firstLine="480" w:firstLineChars="200"/>
        <w:jc w:val="right"/>
        <w:rPr>
          <w:rFonts w:ascii="宋体"/>
          <w:color w:val="auto"/>
          <w:sz w:val="24"/>
          <w:szCs w:val="24"/>
          <w:shd w:val="clear" w:color="auto" w:fill="FFFFFF"/>
        </w:rPr>
      </w:pPr>
      <w:r>
        <w:rPr>
          <w:rFonts w:hint="eastAsia" w:ascii="宋体" w:hAnsi="宋体" w:cs="宋体"/>
          <w:color w:val="auto"/>
          <w:sz w:val="24"/>
          <w:szCs w:val="24"/>
          <w:shd w:val="clear" w:color="auto" w:fill="FFFFFF"/>
        </w:rPr>
        <w:t>金额单位：人民币元</w:t>
      </w:r>
    </w:p>
    <w:tbl>
      <w:tblPr>
        <w:tblStyle w:val="29"/>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003"/>
        <w:gridCol w:w="825"/>
        <w:gridCol w:w="1387"/>
        <w:gridCol w:w="145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577" w:type="dxa"/>
            <w:vAlign w:val="center"/>
          </w:tcPr>
          <w:p>
            <w:pPr>
              <w:pStyle w:val="16"/>
              <w:spacing w:line="360" w:lineRule="auto"/>
              <w:jc w:val="center"/>
              <w:rPr>
                <w:rFonts w:hAnsi="宋体"/>
                <w:b/>
                <w:color w:val="auto"/>
                <w:sz w:val="24"/>
                <w:szCs w:val="24"/>
              </w:rPr>
            </w:pPr>
            <w:r>
              <w:rPr>
                <w:rFonts w:hint="eastAsia" w:hAnsi="宋体"/>
                <w:b/>
                <w:color w:val="auto"/>
                <w:sz w:val="24"/>
                <w:szCs w:val="24"/>
              </w:rPr>
              <w:t>序号</w:t>
            </w:r>
          </w:p>
        </w:tc>
        <w:tc>
          <w:tcPr>
            <w:tcW w:w="2003" w:type="dxa"/>
            <w:vAlign w:val="center"/>
          </w:tcPr>
          <w:p>
            <w:pPr>
              <w:pStyle w:val="16"/>
              <w:spacing w:line="360" w:lineRule="auto"/>
              <w:jc w:val="center"/>
              <w:rPr>
                <w:rFonts w:hAnsi="宋体"/>
                <w:b/>
                <w:color w:val="auto"/>
                <w:sz w:val="24"/>
                <w:szCs w:val="24"/>
              </w:rPr>
            </w:pPr>
            <w:r>
              <w:rPr>
                <w:rFonts w:hint="eastAsia" w:hAnsi="宋体"/>
                <w:b/>
                <w:color w:val="auto"/>
                <w:sz w:val="24"/>
                <w:szCs w:val="24"/>
              </w:rPr>
              <w:t>货品</w:t>
            </w:r>
          </w:p>
        </w:tc>
        <w:tc>
          <w:tcPr>
            <w:tcW w:w="825" w:type="dxa"/>
            <w:vAlign w:val="center"/>
          </w:tcPr>
          <w:p>
            <w:pPr>
              <w:pStyle w:val="16"/>
              <w:spacing w:line="360" w:lineRule="auto"/>
              <w:jc w:val="center"/>
              <w:rPr>
                <w:rFonts w:hAnsi="宋体"/>
                <w:b/>
                <w:color w:val="auto"/>
                <w:sz w:val="24"/>
                <w:szCs w:val="24"/>
              </w:rPr>
            </w:pPr>
            <w:r>
              <w:rPr>
                <w:rFonts w:hint="eastAsia" w:hAnsi="宋体"/>
                <w:b/>
                <w:color w:val="auto"/>
                <w:sz w:val="24"/>
                <w:szCs w:val="24"/>
              </w:rPr>
              <w:t>数量</w:t>
            </w:r>
          </w:p>
        </w:tc>
        <w:tc>
          <w:tcPr>
            <w:tcW w:w="1387" w:type="dxa"/>
            <w:vAlign w:val="center"/>
          </w:tcPr>
          <w:p>
            <w:pPr>
              <w:pStyle w:val="16"/>
              <w:spacing w:line="360" w:lineRule="auto"/>
              <w:jc w:val="center"/>
              <w:rPr>
                <w:rFonts w:hAnsi="宋体"/>
                <w:b/>
                <w:color w:val="auto"/>
                <w:sz w:val="24"/>
                <w:szCs w:val="24"/>
              </w:rPr>
            </w:pPr>
            <w:r>
              <w:rPr>
                <w:rFonts w:hint="eastAsia" w:hAnsi="宋体"/>
                <w:b/>
                <w:color w:val="auto"/>
                <w:sz w:val="24"/>
                <w:szCs w:val="24"/>
              </w:rPr>
              <w:t>预算单价</w:t>
            </w:r>
          </w:p>
        </w:tc>
        <w:tc>
          <w:tcPr>
            <w:tcW w:w="1450" w:type="dxa"/>
            <w:vAlign w:val="center"/>
          </w:tcPr>
          <w:p>
            <w:pPr>
              <w:pStyle w:val="16"/>
              <w:spacing w:line="360" w:lineRule="auto"/>
              <w:jc w:val="center"/>
              <w:rPr>
                <w:rFonts w:hAnsi="宋体"/>
                <w:b/>
                <w:color w:val="auto"/>
                <w:sz w:val="24"/>
                <w:szCs w:val="24"/>
              </w:rPr>
            </w:pPr>
            <w:r>
              <w:rPr>
                <w:rFonts w:hint="eastAsia" w:hAnsi="宋体"/>
                <w:b/>
                <w:color w:val="auto"/>
                <w:sz w:val="24"/>
                <w:szCs w:val="24"/>
              </w:rPr>
              <w:t>预算总价</w:t>
            </w:r>
          </w:p>
        </w:tc>
        <w:tc>
          <w:tcPr>
            <w:tcW w:w="2450" w:type="dxa"/>
            <w:vAlign w:val="center"/>
          </w:tcPr>
          <w:p>
            <w:pPr>
              <w:pStyle w:val="16"/>
              <w:spacing w:line="360" w:lineRule="auto"/>
              <w:jc w:val="center"/>
              <w:rPr>
                <w:rFonts w:hAnsi="宋体"/>
                <w:b/>
                <w:color w:val="auto"/>
                <w:sz w:val="24"/>
                <w:szCs w:val="24"/>
              </w:rPr>
            </w:pPr>
            <w:r>
              <w:rPr>
                <w:rFonts w:hint="eastAsia" w:hAnsi="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77" w:type="dxa"/>
            <w:vAlign w:val="center"/>
          </w:tcPr>
          <w:p>
            <w:pPr>
              <w:pStyle w:val="16"/>
              <w:spacing w:line="360" w:lineRule="auto"/>
              <w:jc w:val="center"/>
              <w:rPr>
                <w:rFonts w:hAnsi="宋体"/>
                <w:color w:val="auto"/>
                <w:sz w:val="24"/>
                <w:szCs w:val="24"/>
              </w:rPr>
            </w:pPr>
            <w:r>
              <w:rPr>
                <w:rFonts w:hint="eastAsia" w:hAnsi="宋体"/>
                <w:color w:val="auto"/>
                <w:sz w:val="24"/>
                <w:szCs w:val="24"/>
              </w:rPr>
              <w:t>1</w:t>
            </w:r>
          </w:p>
        </w:tc>
        <w:tc>
          <w:tcPr>
            <w:tcW w:w="2003" w:type="dxa"/>
            <w:vAlign w:val="center"/>
          </w:tcPr>
          <w:p>
            <w:pPr>
              <w:pStyle w:val="16"/>
              <w:spacing w:line="360" w:lineRule="auto"/>
              <w:jc w:val="center"/>
              <w:rPr>
                <w:rFonts w:hAnsi="宋体"/>
                <w:color w:val="auto"/>
                <w:sz w:val="24"/>
                <w:szCs w:val="24"/>
              </w:rPr>
            </w:pPr>
            <w:r>
              <w:rPr>
                <w:rFonts w:hint="eastAsia" w:ascii="宋体" w:hAnsi="宋体" w:eastAsia="宋体" w:cs="宋体"/>
                <w:color w:val="auto"/>
                <w:kern w:val="0"/>
                <w:sz w:val="24"/>
                <w:szCs w:val="24"/>
                <w:lang w:val="en-US" w:eastAsia="zh-CN" w:bidi="ar"/>
              </w:rPr>
              <w:t>龙岩学院火灾自动报警系统维护改造服务项目货物类采购项目</w:t>
            </w:r>
          </w:p>
        </w:tc>
        <w:tc>
          <w:tcPr>
            <w:tcW w:w="825" w:type="dxa"/>
            <w:vAlign w:val="center"/>
          </w:tcPr>
          <w:p>
            <w:pPr>
              <w:pStyle w:val="16"/>
              <w:spacing w:line="360" w:lineRule="auto"/>
              <w:jc w:val="center"/>
              <w:rPr>
                <w:rFonts w:hAnsi="宋体"/>
                <w:color w:val="auto"/>
                <w:sz w:val="24"/>
                <w:szCs w:val="24"/>
              </w:rPr>
            </w:pPr>
            <w:r>
              <w:rPr>
                <w:rFonts w:hint="eastAsia" w:hAnsi="宋体"/>
                <w:color w:val="auto"/>
                <w:sz w:val="24"/>
                <w:szCs w:val="24"/>
              </w:rPr>
              <w:t>1</w:t>
            </w:r>
            <w:r>
              <w:rPr>
                <w:rFonts w:hint="eastAsia" w:hAnsi="宋体"/>
                <w:color w:val="auto"/>
                <w:sz w:val="24"/>
                <w:szCs w:val="24"/>
                <w:lang w:eastAsia="zh-CN"/>
              </w:rPr>
              <w:t>项</w:t>
            </w:r>
          </w:p>
        </w:tc>
        <w:tc>
          <w:tcPr>
            <w:tcW w:w="1387" w:type="dxa"/>
            <w:vAlign w:val="center"/>
          </w:tcPr>
          <w:p>
            <w:pPr>
              <w:pStyle w:val="16"/>
              <w:spacing w:line="360" w:lineRule="auto"/>
              <w:jc w:val="center"/>
              <w:rPr>
                <w:rFonts w:hAnsi="宋体"/>
                <w:color w:val="auto"/>
                <w:sz w:val="24"/>
                <w:szCs w:val="24"/>
              </w:rPr>
            </w:pPr>
            <w:r>
              <w:rPr>
                <w:rFonts w:hint="eastAsia" w:hAnsi="宋体"/>
                <w:color w:val="auto"/>
                <w:sz w:val="24"/>
                <w:szCs w:val="24"/>
                <w:lang w:val="en-US" w:eastAsia="zh-CN"/>
              </w:rPr>
              <w:t>1219000</w:t>
            </w:r>
          </w:p>
        </w:tc>
        <w:tc>
          <w:tcPr>
            <w:tcW w:w="1450" w:type="dxa"/>
            <w:vAlign w:val="center"/>
          </w:tcPr>
          <w:p>
            <w:pPr>
              <w:pStyle w:val="16"/>
              <w:spacing w:line="360" w:lineRule="auto"/>
              <w:jc w:val="center"/>
              <w:rPr>
                <w:rFonts w:hAnsi="宋体"/>
                <w:color w:val="auto"/>
                <w:sz w:val="24"/>
                <w:szCs w:val="24"/>
              </w:rPr>
            </w:pPr>
            <w:r>
              <w:rPr>
                <w:rFonts w:hint="eastAsia" w:ascii="宋体" w:hAnsi="宋体" w:cs="宋体"/>
                <w:color w:val="auto"/>
                <w:kern w:val="0"/>
                <w:sz w:val="24"/>
                <w:szCs w:val="24"/>
                <w:lang w:val="en-US" w:eastAsia="zh-CN" w:bidi="ar"/>
              </w:rPr>
              <w:t>1219</w:t>
            </w:r>
            <w:r>
              <w:rPr>
                <w:rFonts w:hint="eastAsia" w:hAnsi="宋体" w:cs="宋体"/>
                <w:color w:val="auto"/>
                <w:kern w:val="0"/>
                <w:sz w:val="24"/>
                <w:szCs w:val="24"/>
                <w:lang w:val="en-US" w:eastAsia="zh-CN" w:bidi="ar"/>
              </w:rPr>
              <w:t>000</w:t>
            </w:r>
          </w:p>
        </w:tc>
        <w:tc>
          <w:tcPr>
            <w:tcW w:w="2450" w:type="dxa"/>
            <w:vAlign w:val="center"/>
          </w:tcPr>
          <w:p>
            <w:pPr>
              <w:pStyle w:val="16"/>
              <w:spacing w:line="360" w:lineRule="auto"/>
              <w:jc w:val="center"/>
              <w:rPr>
                <w:rFonts w:hAnsi="宋体"/>
                <w:color w:val="auto"/>
                <w:sz w:val="24"/>
                <w:szCs w:val="24"/>
              </w:rPr>
            </w:pPr>
            <w:r>
              <w:rPr>
                <w:rFonts w:hint="eastAsia" w:hAnsi="宋体"/>
                <w:color w:val="auto"/>
                <w:sz w:val="24"/>
                <w:szCs w:val="24"/>
              </w:rPr>
              <w:t>具体参数详见第三章</w:t>
            </w:r>
            <w:r>
              <w:rPr>
                <w:rFonts w:hint="eastAsia"/>
                <w:color w:val="auto"/>
                <w:sz w:val="24"/>
                <w:szCs w:val="24"/>
              </w:rPr>
              <w:t>《询价内容及要求》</w:t>
            </w:r>
          </w:p>
        </w:tc>
      </w:tr>
    </w:tbl>
    <w:p>
      <w:pPr>
        <w:pStyle w:val="90"/>
        <w:wordWrap w:val="0"/>
        <w:ind w:firstLine="240" w:firstLineChars="100"/>
        <w:rPr>
          <w:rFonts w:ascii="宋体"/>
          <w:color w:val="auto"/>
        </w:rPr>
      </w:pPr>
      <w:r>
        <w:rPr>
          <w:rFonts w:hint="eastAsia" w:ascii="宋体" w:hAnsi="宋体" w:cs="宋体"/>
          <w:color w:val="auto"/>
        </w:rPr>
        <w:t>注：</w:t>
      </w:r>
    </w:p>
    <w:p>
      <w:pPr>
        <w:pStyle w:val="90"/>
        <w:wordWrap w:val="0"/>
        <w:ind w:firstLine="480"/>
        <w:rPr>
          <w:rFonts w:ascii="宋体"/>
          <w:color w:val="auto"/>
        </w:rPr>
      </w:pPr>
      <w:r>
        <w:rPr>
          <w:rFonts w:ascii="宋体" w:hAnsi="宋体" w:cs="宋体"/>
          <w:color w:val="auto"/>
        </w:rPr>
        <w:t>1</w:t>
      </w:r>
      <w:r>
        <w:rPr>
          <w:rFonts w:hint="eastAsia" w:ascii="宋体" w:hAnsi="宋体" w:cs="宋体"/>
          <w:color w:val="auto"/>
        </w:rPr>
        <w:t>、</w:t>
      </w:r>
      <w:r>
        <w:rPr>
          <w:rFonts w:hint="eastAsia" w:ascii="宋体" w:hAnsi="宋体"/>
          <w:color w:val="auto"/>
        </w:rPr>
        <w:t>本次采购为一个合同包，对同一合同包内所有品目号内容投报时必须完整。评标与授标以合同包为单位。</w:t>
      </w:r>
    </w:p>
    <w:p>
      <w:pPr>
        <w:pStyle w:val="90"/>
        <w:wordWrap w:val="0"/>
        <w:ind w:firstLine="480"/>
        <w:rPr>
          <w:rFonts w:hint="eastAsia" w:ascii="宋体" w:hAnsi="宋体"/>
          <w:color w:val="auto"/>
        </w:rPr>
      </w:pPr>
      <w:r>
        <w:rPr>
          <w:rFonts w:hint="eastAsia" w:ascii="宋体" w:hAnsi="宋体"/>
          <w:color w:val="auto"/>
        </w:rPr>
        <w:t>2、</w:t>
      </w:r>
      <w:bookmarkStart w:id="11" w:name="_Toc5265"/>
      <w:bookmarkStart w:id="12" w:name="_Toc11636"/>
      <w:r>
        <w:rPr>
          <w:rFonts w:hint="eastAsia" w:ascii="宋体" w:hAnsi="宋体"/>
          <w:color w:val="auto"/>
        </w:rPr>
        <w:t>包括但不限于产品供应、运输、安装、调试、搬运、培训</w:t>
      </w:r>
      <w:r>
        <w:rPr>
          <w:rFonts w:hint="eastAsia" w:ascii="宋体" w:hAnsi="宋体"/>
          <w:color w:val="auto"/>
          <w:lang w:eastAsia="zh-CN"/>
        </w:rPr>
        <w:t>、</w:t>
      </w:r>
      <w:r>
        <w:rPr>
          <w:rFonts w:hint="eastAsia" w:ascii="宋体" w:hAnsi="宋体"/>
          <w:color w:val="auto"/>
        </w:rPr>
        <w:t>售后服务</w:t>
      </w:r>
      <w:r>
        <w:rPr>
          <w:rFonts w:hint="eastAsia" w:ascii="宋体" w:hAnsi="宋体"/>
          <w:color w:val="auto"/>
          <w:lang w:eastAsia="zh-CN"/>
        </w:rPr>
        <w:t>、保险、税费等一切费用</w:t>
      </w:r>
      <w:r>
        <w:rPr>
          <w:rFonts w:hint="eastAsia" w:ascii="宋体" w:hAnsi="宋体"/>
          <w:color w:val="auto"/>
        </w:rPr>
        <w:t>。</w:t>
      </w:r>
    </w:p>
    <w:p>
      <w:pPr>
        <w:pStyle w:val="90"/>
        <w:wordWrap w:val="0"/>
        <w:ind w:firstLine="482"/>
        <w:rPr>
          <w:rFonts w:cs="宋体"/>
          <w:b/>
          <w:bCs/>
          <w:color w:val="auto"/>
        </w:rPr>
      </w:pPr>
    </w:p>
    <w:p>
      <w:pPr>
        <w:jc w:val="center"/>
        <w:outlineLvl w:val="0"/>
        <w:rPr>
          <w:rFonts w:cs="宋体"/>
          <w:b/>
          <w:bCs/>
          <w:color w:val="auto"/>
          <w:sz w:val="24"/>
          <w:szCs w:val="24"/>
        </w:rPr>
      </w:pPr>
      <w:r>
        <w:rPr>
          <w:rFonts w:hint="eastAsia" w:cs="宋体"/>
          <w:b/>
          <w:bCs/>
          <w:color w:val="auto"/>
          <w:sz w:val="24"/>
          <w:szCs w:val="24"/>
        </w:rPr>
        <w:br w:type="page"/>
      </w:r>
    </w:p>
    <w:p>
      <w:pPr>
        <w:jc w:val="center"/>
        <w:outlineLvl w:val="0"/>
        <w:rPr>
          <w:b/>
          <w:bCs/>
          <w:color w:val="auto"/>
          <w:sz w:val="24"/>
          <w:szCs w:val="24"/>
        </w:rPr>
      </w:pPr>
      <w:r>
        <w:rPr>
          <w:rFonts w:hint="eastAsia" w:cs="宋体"/>
          <w:b/>
          <w:bCs/>
          <w:color w:val="auto"/>
          <w:sz w:val="24"/>
          <w:szCs w:val="24"/>
        </w:rPr>
        <w:t>附：购买询价通知书情况表</w:t>
      </w:r>
      <w:bookmarkEnd w:id="11"/>
      <w:bookmarkEnd w:id="12"/>
    </w:p>
    <w:p>
      <w:pPr>
        <w:jc w:val="center"/>
        <w:rPr>
          <w:b/>
          <w:bCs/>
          <w:color w:val="auto"/>
          <w:sz w:val="24"/>
          <w:szCs w:val="24"/>
        </w:rPr>
      </w:pPr>
    </w:p>
    <w:tbl>
      <w:tblPr>
        <w:tblStyle w:val="29"/>
        <w:tblW w:w="9000" w:type="dxa"/>
        <w:jc w:val="center"/>
        <w:tblLayout w:type="fixed"/>
        <w:tblCellMar>
          <w:top w:w="0" w:type="dxa"/>
          <w:left w:w="108" w:type="dxa"/>
          <w:bottom w:w="0" w:type="dxa"/>
          <w:right w:w="108" w:type="dxa"/>
        </w:tblCellMar>
      </w:tblPr>
      <w:tblGrid>
        <w:gridCol w:w="3060"/>
        <w:gridCol w:w="5940"/>
      </w:tblGrid>
      <w:tr>
        <w:tblPrEx>
          <w:tblCellMar>
            <w:top w:w="0" w:type="dxa"/>
            <w:left w:w="108" w:type="dxa"/>
            <w:bottom w:w="0" w:type="dxa"/>
            <w:right w:w="108" w:type="dxa"/>
          </w:tblCellMar>
        </w:tblPrEx>
        <w:trPr>
          <w:trHeight w:val="510"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购买时间</w:t>
            </w:r>
            <w:r>
              <w:rPr>
                <w:rFonts w:ascii="宋体" w:hAnsi="宋体" w:cs="宋体"/>
                <w:color w:val="auto"/>
                <w:kern w:val="0"/>
                <w:sz w:val="24"/>
                <w:szCs w:val="24"/>
              </w:rPr>
              <w:t>*</w:t>
            </w:r>
          </w:p>
        </w:tc>
        <w:tc>
          <w:tcPr>
            <w:tcW w:w="5940" w:type="dxa"/>
            <w:tcBorders>
              <w:top w:val="single" w:color="auto" w:sz="4" w:space="0"/>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采购编码</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购买单位全称</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购买单位地址</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购买单位常用银行账号及开户行全称</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纳税识别号</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法定代表人</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vAlign w:val="center"/>
          </w:tcPr>
          <w:p>
            <w:pPr>
              <w:widowControl/>
              <w:jc w:val="center"/>
              <w:rPr>
                <w:rFonts w:ascii="宋体"/>
                <w:color w:val="auto"/>
                <w:kern w:val="0"/>
                <w:sz w:val="24"/>
                <w:szCs w:val="24"/>
              </w:rPr>
            </w:pPr>
            <w:r>
              <w:rPr>
                <w:rFonts w:hint="eastAsia" w:ascii="宋体" w:hAnsi="宋体" w:cs="宋体"/>
                <w:color w:val="auto"/>
                <w:kern w:val="0"/>
                <w:sz w:val="24"/>
                <w:szCs w:val="24"/>
              </w:rPr>
              <w:t>联系人及联系电话</w:t>
            </w:r>
            <w:r>
              <w:rPr>
                <w:rFonts w:ascii="宋体" w:hAnsi="宋体" w:cs="宋体"/>
                <w:color w:val="auto"/>
                <w:kern w:val="0"/>
                <w:sz w:val="24"/>
                <w:szCs w:val="24"/>
              </w:rPr>
              <w:t>*</w:t>
            </w:r>
          </w:p>
        </w:tc>
        <w:tc>
          <w:tcPr>
            <w:tcW w:w="5940" w:type="dxa"/>
            <w:tcBorders>
              <w:top w:val="nil"/>
              <w:left w:val="nil"/>
              <w:bottom w:val="single" w:color="auto" w:sz="4" w:space="0"/>
              <w:right w:val="single" w:color="auto" w:sz="4" w:space="0"/>
            </w:tcBorders>
            <w:vAlign w:val="center"/>
          </w:tcPr>
          <w:p>
            <w:pPr>
              <w:widowControl/>
              <w:jc w:val="left"/>
              <w:rPr>
                <w:rFonts w:ascii="宋体"/>
                <w:color w:val="auto"/>
                <w:kern w:val="0"/>
                <w:sz w:val="24"/>
                <w:szCs w:val="24"/>
              </w:rPr>
            </w:pPr>
            <w:r>
              <w:rPr>
                <w:rFonts w:hint="eastAsia" w:ascii="宋体" w:hAnsi="宋体" w:cs="宋体"/>
                <w:color w:val="auto"/>
                <w:kern w:val="0"/>
                <w:sz w:val="24"/>
                <w:szCs w:val="24"/>
              </w:rPr>
              <w:t>　</w:t>
            </w:r>
          </w:p>
        </w:tc>
      </w:tr>
    </w:tbl>
    <w:p>
      <w:pPr>
        <w:rPr>
          <w:color w:val="auto"/>
        </w:rPr>
      </w:pPr>
      <w:bookmarkStart w:id="13" w:name="_Toc26516"/>
      <w:bookmarkStart w:id="14" w:name="_Toc22165"/>
      <w:r>
        <w:rPr>
          <w:color w:val="auto"/>
        </w:rPr>
        <w:br w:type="page"/>
      </w:r>
    </w:p>
    <w:p>
      <w:pPr>
        <w:pStyle w:val="3"/>
        <w:numPr>
          <w:ilvl w:val="0"/>
          <w:numId w:val="0"/>
        </w:numPr>
        <w:rPr>
          <w:color w:val="auto"/>
        </w:rPr>
      </w:pPr>
      <w:bookmarkStart w:id="15" w:name="_Toc20117"/>
      <w:r>
        <w:rPr>
          <w:rFonts w:hint="eastAsia" w:cs="宋体"/>
          <w:color w:val="auto"/>
        </w:rPr>
        <w:t>第二章询价供应商须知</w:t>
      </w:r>
      <w:bookmarkEnd w:id="13"/>
      <w:bookmarkEnd w:id="14"/>
      <w:bookmarkEnd w:id="15"/>
    </w:p>
    <w:p>
      <w:pPr>
        <w:pStyle w:val="2"/>
        <w:numPr>
          <w:ilvl w:val="0"/>
          <w:numId w:val="0"/>
        </w:numPr>
        <w:rPr>
          <w:rFonts w:cs="Times New Roman"/>
          <w:color w:val="auto"/>
        </w:rPr>
      </w:pPr>
      <w:bookmarkStart w:id="16" w:name="_Toc24228"/>
      <w:bookmarkStart w:id="17" w:name="_Toc26853"/>
      <w:bookmarkStart w:id="18" w:name="_Toc27030"/>
      <w:r>
        <w:rPr>
          <w:rFonts w:hint="eastAsia" w:cs="宋体"/>
          <w:color w:val="auto"/>
        </w:rPr>
        <w:t>询价供应商须知前附表</w:t>
      </w:r>
      <w:bookmarkEnd w:id="16"/>
      <w:bookmarkEnd w:id="17"/>
      <w:bookmarkEnd w:id="18"/>
    </w:p>
    <w:p>
      <w:pPr>
        <w:spacing w:line="360" w:lineRule="auto"/>
        <w:ind w:firstLine="480" w:firstLineChars="200"/>
        <w:jc w:val="center"/>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本须知前附表的条款号是与《询价供应商须知》中条款的项号相对应的，如果不一致的话，应以本须知前附表为准。</w:t>
      </w:r>
    </w:p>
    <w:tbl>
      <w:tblPr>
        <w:tblStyle w:val="29"/>
        <w:tblW w:w="892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4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0" w:type="dxa"/>
          </w:tcPr>
          <w:p>
            <w:pPr>
              <w:spacing w:line="360" w:lineRule="auto"/>
              <w:rPr>
                <w:rFonts w:ascii="宋体"/>
                <w:color w:val="auto"/>
                <w:sz w:val="24"/>
                <w:szCs w:val="24"/>
              </w:rPr>
            </w:pPr>
            <w:r>
              <w:rPr>
                <w:rFonts w:hint="eastAsia" w:ascii="宋体" w:hAnsi="宋体" w:cs="宋体"/>
                <w:color w:val="auto"/>
                <w:sz w:val="24"/>
                <w:szCs w:val="24"/>
              </w:rPr>
              <w:t>项号</w:t>
            </w:r>
          </w:p>
        </w:tc>
        <w:tc>
          <w:tcPr>
            <w:tcW w:w="945" w:type="dxa"/>
          </w:tcPr>
          <w:p>
            <w:pPr>
              <w:spacing w:line="360" w:lineRule="auto"/>
              <w:rPr>
                <w:rFonts w:ascii="宋体"/>
                <w:color w:val="auto"/>
                <w:sz w:val="24"/>
                <w:szCs w:val="24"/>
              </w:rPr>
            </w:pPr>
            <w:r>
              <w:rPr>
                <w:rFonts w:hint="eastAsia" w:ascii="宋体" w:hAnsi="宋体" w:cs="宋体"/>
                <w:color w:val="auto"/>
                <w:sz w:val="24"/>
                <w:szCs w:val="24"/>
              </w:rPr>
              <w:t>条款号</w:t>
            </w:r>
          </w:p>
        </w:tc>
        <w:tc>
          <w:tcPr>
            <w:tcW w:w="7200" w:type="dxa"/>
          </w:tcPr>
          <w:p>
            <w:pPr>
              <w:spacing w:line="360" w:lineRule="auto"/>
              <w:ind w:firstLine="480" w:firstLineChars="200"/>
              <w:rPr>
                <w:rFonts w:ascii="宋体"/>
                <w:color w:val="auto"/>
                <w:sz w:val="24"/>
                <w:szCs w:val="24"/>
              </w:rPr>
            </w:pPr>
            <w:r>
              <w:rPr>
                <w:rFonts w:hint="eastAsia" w:ascii="宋体" w:hAnsi="宋体" w:cs="宋体"/>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1</w:t>
            </w:r>
          </w:p>
        </w:tc>
        <w:tc>
          <w:tcPr>
            <w:tcW w:w="945" w:type="dxa"/>
            <w:vAlign w:val="center"/>
          </w:tcPr>
          <w:p>
            <w:pPr>
              <w:spacing w:line="360" w:lineRule="auto"/>
              <w:rPr>
                <w:rFonts w:ascii="宋体"/>
                <w:color w:val="auto"/>
                <w:sz w:val="24"/>
                <w:szCs w:val="24"/>
              </w:rPr>
            </w:pPr>
            <w:r>
              <w:rPr>
                <w:rFonts w:ascii="宋体" w:hAnsi="宋体" w:cs="宋体"/>
                <w:color w:val="auto"/>
                <w:sz w:val="24"/>
                <w:szCs w:val="24"/>
              </w:rPr>
              <w:t>1.1</w:t>
            </w:r>
          </w:p>
        </w:tc>
        <w:tc>
          <w:tcPr>
            <w:tcW w:w="7200" w:type="dxa"/>
            <w:vAlign w:val="center"/>
          </w:tcPr>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szCs w:val="24"/>
                <w:lang w:eastAsia="zh-CN"/>
              </w:rPr>
              <w:t>龙岩学院火灾自动报警系统维护改造服务项目货物类采购项目</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采购人：龙岩学院</w:t>
            </w:r>
          </w:p>
          <w:p>
            <w:pPr>
              <w:spacing w:line="360" w:lineRule="auto"/>
              <w:ind w:firstLine="480" w:firstLineChars="200"/>
              <w:rPr>
                <w:rFonts w:ascii="Arial" w:hAnsi="Arial" w:cs="Arial"/>
                <w:color w:val="auto"/>
                <w:sz w:val="24"/>
                <w:szCs w:val="24"/>
                <w:u w:val="single"/>
              </w:rPr>
            </w:pPr>
            <w:r>
              <w:rPr>
                <w:rFonts w:hint="eastAsia" w:ascii="宋体" w:hAnsi="宋体" w:cs="宋体"/>
                <w:color w:val="auto"/>
                <w:sz w:val="24"/>
                <w:szCs w:val="24"/>
              </w:rPr>
              <w:t>项目编号：</w:t>
            </w:r>
            <w:r>
              <w:rPr>
                <w:rFonts w:hint="eastAsia" w:ascii="宋体" w:hAnsi="宋体" w:cs="宋体"/>
                <w:color w:val="auto"/>
                <w:sz w:val="24"/>
                <w:szCs w:val="24"/>
                <w:lang w:eastAsia="zh-CN"/>
              </w:rPr>
              <w:t>卓招（岩）字2022-104-2号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2</w:t>
            </w:r>
          </w:p>
        </w:tc>
        <w:tc>
          <w:tcPr>
            <w:tcW w:w="945" w:type="dxa"/>
            <w:vAlign w:val="center"/>
          </w:tcPr>
          <w:p>
            <w:pPr>
              <w:spacing w:line="360" w:lineRule="auto"/>
              <w:rPr>
                <w:rFonts w:ascii="宋体"/>
                <w:color w:val="auto"/>
                <w:sz w:val="24"/>
                <w:szCs w:val="24"/>
              </w:rPr>
            </w:pPr>
            <w:r>
              <w:rPr>
                <w:rFonts w:ascii="宋体" w:hAnsi="宋体" w:cs="宋体"/>
                <w:color w:val="auto"/>
                <w:sz w:val="24"/>
                <w:szCs w:val="24"/>
              </w:rPr>
              <w:t>3</w:t>
            </w:r>
          </w:p>
        </w:tc>
        <w:tc>
          <w:tcPr>
            <w:tcW w:w="7200" w:type="dxa"/>
            <w:vAlign w:val="center"/>
          </w:tcPr>
          <w:p>
            <w:pPr>
              <w:spacing w:line="360" w:lineRule="auto"/>
              <w:ind w:firstLine="480" w:firstLineChars="200"/>
              <w:rPr>
                <w:rFonts w:ascii="宋体"/>
                <w:color w:val="auto"/>
                <w:sz w:val="24"/>
                <w:szCs w:val="24"/>
              </w:rPr>
            </w:pPr>
            <w:r>
              <w:rPr>
                <w:rFonts w:hint="eastAsia" w:ascii="宋体" w:hAnsi="宋体" w:cs="宋体"/>
                <w:color w:val="auto"/>
                <w:sz w:val="24"/>
                <w:szCs w:val="24"/>
              </w:rPr>
              <w:t>资格标准：</w:t>
            </w:r>
          </w:p>
          <w:p>
            <w:pPr>
              <w:spacing w:line="360" w:lineRule="auto"/>
              <w:ind w:firstLine="480" w:firstLineChars="200"/>
              <w:rPr>
                <w:rFonts w:ascii="宋体"/>
                <w:color w:val="auto"/>
                <w:sz w:val="24"/>
                <w:szCs w:val="24"/>
              </w:rPr>
            </w:pPr>
            <w:r>
              <w:rPr>
                <w:rFonts w:hint="eastAsia" w:ascii="宋体" w:hAnsi="宋体" w:cs="宋体"/>
                <w:color w:val="auto"/>
                <w:sz w:val="24"/>
                <w:szCs w:val="24"/>
              </w:rPr>
              <w:t>见《询价供应商须知》第</w:t>
            </w:r>
            <w:r>
              <w:rPr>
                <w:rFonts w:ascii="宋体" w:hAnsi="宋体" w:cs="宋体"/>
                <w:color w:val="auto"/>
                <w:sz w:val="24"/>
                <w:szCs w:val="24"/>
              </w:rPr>
              <w:t>3</w:t>
            </w:r>
            <w:r>
              <w:rPr>
                <w:rFonts w:hint="eastAsia" w:ascii="宋体" w:hAnsi="宋体" w:cs="宋体"/>
                <w:color w:val="auto"/>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3</w:t>
            </w:r>
          </w:p>
        </w:tc>
        <w:tc>
          <w:tcPr>
            <w:tcW w:w="945" w:type="dxa"/>
            <w:vAlign w:val="center"/>
          </w:tcPr>
          <w:p>
            <w:pPr>
              <w:spacing w:line="360" w:lineRule="auto"/>
              <w:rPr>
                <w:rFonts w:ascii="宋体"/>
                <w:color w:val="auto"/>
                <w:sz w:val="24"/>
                <w:szCs w:val="24"/>
              </w:rPr>
            </w:pPr>
            <w:r>
              <w:rPr>
                <w:rFonts w:ascii="宋体" w:hAnsi="宋体" w:cs="宋体"/>
                <w:color w:val="auto"/>
                <w:sz w:val="24"/>
                <w:szCs w:val="24"/>
              </w:rPr>
              <w:t>11.1</w:t>
            </w:r>
          </w:p>
        </w:tc>
        <w:tc>
          <w:tcPr>
            <w:tcW w:w="7200" w:type="dxa"/>
            <w:vAlign w:val="center"/>
          </w:tcPr>
          <w:p>
            <w:pPr>
              <w:spacing w:line="360" w:lineRule="auto"/>
              <w:ind w:firstLine="480" w:firstLineChars="200"/>
              <w:rPr>
                <w:rFonts w:ascii="宋体"/>
                <w:color w:val="auto"/>
                <w:sz w:val="24"/>
                <w:szCs w:val="24"/>
              </w:rPr>
            </w:pPr>
            <w:r>
              <w:rPr>
                <w:rFonts w:hint="eastAsia" w:ascii="宋体" w:hAnsi="宋体" w:cs="宋体"/>
                <w:color w:val="auto"/>
                <w:sz w:val="24"/>
                <w:szCs w:val="24"/>
              </w:rPr>
              <w:t>询价响应有效期：递交询价响应文件截止期结束后</w:t>
            </w:r>
            <w:r>
              <w:rPr>
                <w:rFonts w:ascii="宋体" w:hAnsi="宋体" w:cs="宋体"/>
                <w:color w:val="auto"/>
                <w:sz w:val="24"/>
                <w:szCs w:val="24"/>
                <w:u w:val="single"/>
              </w:rPr>
              <w:t>90</w:t>
            </w:r>
            <w:r>
              <w:rPr>
                <w:rFonts w:hint="eastAsia" w:ascii="宋体" w:hAnsi="宋体" w:cs="宋体"/>
                <w:color w:val="auto"/>
                <w:sz w:val="24"/>
                <w:szCs w:val="24"/>
                <w:u w:val="single"/>
              </w:rPr>
              <w:t>个</w:t>
            </w:r>
            <w:r>
              <w:rPr>
                <w:rFonts w:hint="eastAsia" w:ascii="宋体" w:hAnsi="宋体" w:cs="宋体"/>
                <w:color w:val="auto"/>
                <w:sz w:val="24"/>
                <w:szCs w:val="24"/>
              </w:rPr>
              <w:t>日历日。</w:t>
            </w:r>
          </w:p>
          <w:p>
            <w:pPr>
              <w:spacing w:line="360" w:lineRule="auto"/>
              <w:ind w:firstLine="480" w:firstLineChars="200"/>
              <w:rPr>
                <w:rFonts w:ascii="宋体"/>
                <w:color w:val="auto"/>
                <w:sz w:val="24"/>
                <w:szCs w:val="24"/>
              </w:rPr>
            </w:pPr>
            <w:r>
              <w:rPr>
                <w:rFonts w:hint="eastAsia" w:ascii="宋体" w:hAnsi="宋体" w:cs="宋体"/>
                <w:color w:val="auto"/>
                <w:sz w:val="24"/>
                <w:szCs w:val="24"/>
              </w:rPr>
              <w:t>有效期不足将导致其询价响应文件被拒绝。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4</w:t>
            </w:r>
          </w:p>
        </w:tc>
        <w:tc>
          <w:tcPr>
            <w:tcW w:w="945" w:type="dxa"/>
            <w:vAlign w:val="center"/>
          </w:tcPr>
          <w:p>
            <w:pPr>
              <w:spacing w:line="360" w:lineRule="auto"/>
              <w:ind w:firstLine="480" w:firstLineChars="200"/>
              <w:rPr>
                <w:rFonts w:ascii="宋体"/>
                <w:color w:val="auto"/>
                <w:sz w:val="24"/>
                <w:szCs w:val="24"/>
              </w:rPr>
            </w:pPr>
          </w:p>
        </w:tc>
        <w:tc>
          <w:tcPr>
            <w:tcW w:w="7200" w:type="dxa"/>
            <w:vAlign w:val="center"/>
          </w:tcPr>
          <w:p>
            <w:pPr>
              <w:spacing w:line="360" w:lineRule="auto"/>
              <w:ind w:firstLine="480" w:firstLineChars="200"/>
              <w:rPr>
                <w:rFonts w:ascii="宋体"/>
                <w:color w:val="auto"/>
                <w:sz w:val="24"/>
                <w:szCs w:val="24"/>
              </w:rPr>
            </w:pPr>
            <w:r>
              <w:rPr>
                <w:rFonts w:hint="eastAsia" w:ascii="宋体" w:hAnsi="宋体" w:cs="宋体"/>
                <w:color w:val="auto"/>
                <w:sz w:val="24"/>
                <w:szCs w:val="24"/>
              </w:rPr>
              <w:t>询价响应文件递交地址：</w:t>
            </w:r>
            <w:r>
              <w:rPr>
                <w:rFonts w:hint="eastAsia" w:ascii="宋体" w:hAnsi="宋体"/>
                <w:color w:val="auto"/>
                <w:sz w:val="24"/>
                <w:lang w:eastAsia="zh-CN"/>
              </w:rPr>
              <w:t xml:space="preserve">龙岩市新罗区龙岩大道383号万阳城国际商贸中心B栋1梯1802 </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接收人：卓知项目管理顾问有限公司</w:t>
            </w:r>
            <w:r>
              <w:rPr>
                <w:rFonts w:hint="eastAsia" w:ascii="宋体" w:hAnsi="宋体"/>
                <w:color w:val="auto"/>
                <w:sz w:val="24"/>
              </w:rPr>
              <w:t>招标代理人员</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接受询价响应文件开始时间：2022年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cs="宋体"/>
                <w:color w:val="auto"/>
                <w:sz w:val="24"/>
                <w:szCs w:val="24"/>
              </w:rPr>
              <w:t>日8﹕</w:t>
            </w:r>
            <w:r>
              <w:rPr>
                <w:rFonts w:ascii="宋体" w:hAnsi="宋体" w:cs="宋体"/>
                <w:color w:val="auto"/>
                <w:sz w:val="24"/>
                <w:szCs w:val="24"/>
              </w:rPr>
              <w:t>3</w:t>
            </w:r>
            <w:r>
              <w:rPr>
                <w:rFonts w:ascii="宋体" w:cs="宋体"/>
                <w:color w:val="auto"/>
                <w:sz w:val="24"/>
                <w:szCs w:val="24"/>
              </w:rPr>
              <w:t>0</w:t>
            </w:r>
          </w:p>
          <w:p>
            <w:pPr>
              <w:spacing w:line="360" w:lineRule="auto"/>
              <w:ind w:firstLine="480" w:firstLineChars="200"/>
              <w:rPr>
                <w:rFonts w:ascii="宋体"/>
                <w:color w:val="auto"/>
                <w:sz w:val="24"/>
                <w:szCs w:val="24"/>
              </w:rPr>
            </w:pPr>
            <w:r>
              <w:rPr>
                <w:rFonts w:hint="eastAsia" w:ascii="宋体" w:hAnsi="宋体" w:cs="宋体"/>
                <w:color w:val="auto"/>
                <w:sz w:val="24"/>
                <w:szCs w:val="24"/>
              </w:rPr>
              <w:t>递交询价响应文件截止时间：2022年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cs="宋体"/>
                <w:color w:val="auto"/>
                <w:sz w:val="24"/>
                <w:szCs w:val="24"/>
              </w:rPr>
              <w:t>日</w:t>
            </w:r>
            <w:r>
              <w:rPr>
                <w:rFonts w:ascii="宋体" w:hAnsi="宋体" w:cs="宋体"/>
                <w:color w:val="auto"/>
                <w:sz w:val="24"/>
                <w:szCs w:val="24"/>
              </w:rPr>
              <w:t>9</w:t>
            </w:r>
            <w:r>
              <w:rPr>
                <w:rFonts w:hint="eastAsia" w:ascii="宋体" w:hAnsi="宋体" w:cs="宋体"/>
                <w:color w:val="auto"/>
                <w:sz w:val="24"/>
                <w:szCs w:val="24"/>
              </w:rPr>
              <w:t>﹕</w:t>
            </w:r>
            <w:r>
              <w:rPr>
                <w:rFonts w:ascii="宋体" w:hAnsi="宋体" w:cs="宋体"/>
                <w:color w:val="auto"/>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5</w:t>
            </w:r>
          </w:p>
        </w:tc>
        <w:tc>
          <w:tcPr>
            <w:tcW w:w="945" w:type="dxa"/>
            <w:vAlign w:val="center"/>
          </w:tcPr>
          <w:p>
            <w:pPr>
              <w:spacing w:line="360" w:lineRule="auto"/>
              <w:rPr>
                <w:rFonts w:ascii="宋体"/>
                <w:color w:val="auto"/>
                <w:sz w:val="24"/>
                <w:szCs w:val="24"/>
              </w:rPr>
            </w:pPr>
            <w:r>
              <w:rPr>
                <w:rFonts w:ascii="宋体" w:hAnsi="宋体" w:cs="宋体"/>
                <w:color w:val="auto"/>
                <w:sz w:val="24"/>
                <w:szCs w:val="24"/>
              </w:rPr>
              <w:t>12</w:t>
            </w:r>
          </w:p>
        </w:tc>
        <w:tc>
          <w:tcPr>
            <w:tcW w:w="7200" w:type="dxa"/>
            <w:vAlign w:val="center"/>
          </w:tcPr>
          <w:p>
            <w:pPr>
              <w:spacing w:line="360" w:lineRule="auto"/>
              <w:ind w:firstLine="480" w:firstLineChars="200"/>
              <w:rPr>
                <w:rFonts w:ascii="宋体"/>
                <w:color w:val="auto"/>
                <w:sz w:val="24"/>
                <w:szCs w:val="24"/>
              </w:rPr>
            </w:pPr>
            <w:r>
              <w:rPr>
                <w:rFonts w:hint="eastAsia" w:ascii="宋体" w:hAnsi="宋体" w:cs="宋体"/>
                <w:color w:val="auto"/>
                <w:sz w:val="24"/>
                <w:szCs w:val="24"/>
              </w:rPr>
              <w:t>询价保证金</w:t>
            </w:r>
            <w:r>
              <w:rPr>
                <w:rFonts w:ascii="宋体" w:hAnsi="宋体" w:cs="宋体"/>
                <w:color w:val="auto"/>
                <w:sz w:val="24"/>
                <w:szCs w:val="24"/>
              </w:rPr>
              <w:t>:</w:t>
            </w:r>
            <w:r>
              <w:rPr>
                <w:rFonts w:hint="eastAsia" w:ascii="宋体" w:hAnsi="宋体" w:cs="宋体"/>
                <w:b/>
                <w:bCs/>
                <w:color w:val="auto"/>
                <w:sz w:val="24"/>
                <w:szCs w:val="24"/>
                <w:u w:val="single"/>
                <w:lang w:val="en-US" w:eastAsia="zh-CN"/>
              </w:rPr>
              <w:t>12190</w:t>
            </w:r>
            <w:r>
              <w:rPr>
                <w:rFonts w:hint="eastAsia" w:ascii="宋体" w:hAnsi="宋体" w:cs="宋体"/>
                <w:b/>
                <w:bCs/>
                <w:color w:val="auto"/>
                <w:sz w:val="24"/>
                <w:szCs w:val="24"/>
                <w:u w:val="single"/>
              </w:rPr>
              <w:t>元</w:t>
            </w:r>
            <w:r>
              <w:rPr>
                <w:rFonts w:hint="eastAsia" w:ascii="宋体" w:hAnsi="宋体" w:cs="宋体"/>
                <w:b/>
                <w:bCs/>
                <w:color w:val="auto"/>
                <w:sz w:val="24"/>
                <w:szCs w:val="24"/>
              </w:rPr>
              <w:t>。</w:t>
            </w:r>
            <w:r>
              <w:rPr>
                <w:rFonts w:hint="eastAsia" w:ascii="宋体" w:hAnsi="宋体" w:cs="宋体"/>
                <w:color w:val="auto"/>
                <w:sz w:val="24"/>
                <w:szCs w:val="24"/>
              </w:rPr>
              <w:t>从供应商银行账户以电汇或转账方式，于</w:t>
            </w:r>
            <w:r>
              <w:rPr>
                <w:rFonts w:hint="eastAsia" w:ascii="宋体" w:hAnsi="宋体" w:cs="宋体"/>
                <w:color w:val="auto"/>
                <w:sz w:val="24"/>
                <w:szCs w:val="24"/>
                <w:u w:val="single"/>
              </w:rPr>
              <w:t>开标截止时间</w:t>
            </w:r>
            <w:r>
              <w:rPr>
                <w:rFonts w:hint="eastAsia" w:ascii="宋体" w:hAnsi="宋体" w:cs="宋体"/>
                <w:color w:val="auto"/>
                <w:sz w:val="24"/>
                <w:szCs w:val="24"/>
              </w:rPr>
              <w:t>前缴至</w:t>
            </w:r>
            <w:r>
              <w:rPr>
                <w:rFonts w:hint="eastAsia" w:ascii="宋体" w:hAnsi="宋体"/>
                <w:b/>
                <w:color w:val="auto"/>
                <w:sz w:val="24"/>
              </w:rPr>
              <w:t>卓知项目管理顾问有限公司</w:t>
            </w:r>
            <w:r>
              <w:rPr>
                <w:rFonts w:hint="eastAsia" w:ascii="宋体" w:hAnsi="宋体" w:cs="宋体"/>
                <w:color w:val="auto"/>
                <w:sz w:val="24"/>
                <w:szCs w:val="24"/>
              </w:rPr>
              <w:t>账户（以到账为准）。</w:t>
            </w:r>
            <w:r>
              <w:rPr>
                <w:rFonts w:hint="eastAsia" w:ascii="宋体" w:hAnsi="宋体" w:cs="宋体"/>
                <w:b/>
                <w:bCs/>
                <w:color w:val="auto"/>
                <w:kern w:val="0"/>
                <w:sz w:val="24"/>
                <w:szCs w:val="24"/>
              </w:rPr>
              <w:t>询价保证金转账单或电汇单上必须注明本项目采购编号、合同包号</w:t>
            </w:r>
            <w:r>
              <w:rPr>
                <w:rFonts w:hint="eastAsia" w:ascii="宋体" w:hAnsi="宋体" w:cs="宋体"/>
                <w:color w:val="auto"/>
                <w:sz w:val="24"/>
                <w:szCs w:val="24"/>
              </w:rPr>
              <w:t>。（详见第二章</w:t>
            </w:r>
            <w:r>
              <w:rPr>
                <w:rFonts w:ascii="宋体" w:hAnsi="宋体" w:cs="宋体"/>
                <w:color w:val="auto"/>
                <w:sz w:val="24"/>
                <w:szCs w:val="24"/>
              </w:rPr>
              <w:t>12.</w:t>
            </w:r>
            <w:r>
              <w:rPr>
                <w:rFonts w:hint="eastAsia" w:ascii="宋体" w:hAnsi="宋体" w:cs="宋体"/>
                <w:color w:val="auto"/>
                <w:sz w:val="24"/>
                <w:szCs w:val="24"/>
              </w:rPr>
              <w:t>询价保证金）</w:t>
            </w:r>
          </w:p>
          <w:p>
            <w:pPr>
              <w:spacing w:line="360" w:lineRule="auto"/>
              <w:ind w:firstLine="480" w:firstLineChars="200"/>
              <w:rPr>
                <w:rFonts w:ascii="宋体" w:hAnsi="宋体"/>
                <w:color w:val="auto"/>
                <w:sz w:val="24"/>
              </w:rPr>
            </w:pPr>
            <w:r>
              <w:rPr>
                <w:rFonts w:hint="eastAsia" w:ascii="宋体" w:hAnsi="宋体"/>
                <w:color w:val="auto"/>
                <w:sz w:val="24"/>
              </w:rPr>
              <w:t>账户名称：卓知项目管理顾问有限公司龙岩分公司</w:t>
            </w:r>
          </w:p>
          <w:p>
            <w:pPr>
              <w:spacing w:line="360" w:lineRule="auto"/>
              <w:ind w:firstLine="480" w:firstLineChars="200"/>
              <w:rPr>
                <w:rFonts w:ascii="宋体" w:hAnsi="宋体"/>
                <w:color w:val="auto"/>
                <w:sz w:val="24"/>
              </w:rPr>
            </w:pPr>
            <w:r>
              <w:rPr>
                <w:rFonts w:hint="eastAsia" w:ascii="宋体" w:hAnsi="宋体"/>
                <w:color w:val="auto"/>
                <w:sz w:val="24"/>
              </w:rPr>
              <w:t>账号：597900001810101</w:t>
            </w:r>
          </w:p>
          <w:p>
            <w:pPr>
              <w:spacing w:line="360" w:lineRule="auto"/>
              <w:ind w:firstLine="480" w:firstLineChars="200"/>
              <w:rPr>
                <w:rFonts w:ascii="宋体"/>
                <w:color w:val="auto"/>
                <w:sz w:val="24"/>
                <w:szCs w:val="24"/>
              </w:rPr>
            </w:pPr>
            <w:r>
              <w:rPr>
                <w:rFonts w:hint="eastAsia" w:ascii="宋体" w:hAnsi="宋体"/>
                <w:color w:val="auto"/>
                <w:sz w:val="24"/>
              </w:rPr>
              <w:t>开户银行：招商银行龙岩分行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6</w:t>
            </w:r>
          </w:p>
        </w:tc>
        <w:tc>
          <w:tcPr>
            <w:tcW w:w="945" w:type="dxa"/>
            <w:vAlign w:val="center"/>
          </w:tcPr>
          <w:p>
            <w:pPr>
              <w:spacing w:line="360" w:lineRule="auto"/>
              <w:rPr>
                <w:rFonts w:ascii="宋体"/>
                <w:color w:val="auto"/>
                <w:sz w:val="24"/>
                <w:szCs w:val="24"/>
              </w:rPr>
            </w:pPr>
            <w:r>
              <w:rPr>
                <w:rFonts w:ascii="宋体" w:hAnsi="宋体" w:cs="宋体"/>
                <w:color w:val="auto"/>
                <w:sz w:val="24"/>
                <w:szCs w:val="24"/>
              </w:rPr>
              <w:t>19.6</w:t>
            </w:r>
          </w:p>
        </w:tc>
        <w:tc>
          <w:tcPr>
            <w:tcW w:w="7200" w:type="dxa"/>
            <w:vAlign w:val="center"/>
          </w:tcPr>
          <w:p>
            <w:pPr>
              <w:spacing w:line="360" w:lineRule="auto"/>
              <w:ind w:firstLine="480" w:firstLineChars="200"/>
              <w:rPr>
                <w:rFonts w:ascii="宋体"/>
                <w:b/>
                <w:bCs/>
                <w:color w:val="auto"/>
                <w:sz w:val="24"/>
                <w:szCs w:val="24"/>
              </w:rPr>
            </w:pPr>
            <w:r>
              <w:rPr>
                <w:rFonts w:hint="eastAsia" w:ascii="宋体" w:hAnsi="宋体" w:cs="宋体"/>
                <w:color w:val="auto"/>
                <w:sz w:val="24"/>
                <w:szCs w:val="24"/>
              </w:rPr>
              <w:t>评审标准和方法：</w:t>
            </w:r>
            <w:r>
              <w:rPr>
                <w:rFonts w:hint="eastAsia" w:ascii="宋体" w:hAnsi="宋体" w:cs="宋体"/>
                <w:b/>
                <w:bCs/>
                <w:color w:val="auto"/>
                <w:sz w:val="24"/>
                <w:szCs w:val="24"/>
              </w:rPr>
              <w:t>最低评审价法，采用在实质性响应询价通知书的前提下，询价小组按供应商有效报价从低到高排列的顺序推荐</w:t>
            </w:r>
            <w:r>
              <w:rPr>
                <w:rFonts w:ascii="宋体" w:hAnsi="宋体" w:cs="宋体"/>
                <w:b/>
                <w:bCs/>
                <w:color w:val="auto"/>
                <w:sz w:val="24"/>
                <w:szCs w:val="24"/>
              </w:rPr>
              <w:t>3</w:t>
            </w:r>
            <w:r>
              <w:rPr>
                <w:rFonts w:hint="eastAsia" w:ascii="宋体" w:hAnsi="宋体" w:cs="宋体"/>
                <w:b/>
                <w:bCs/>
                <w:color w:val="auto"/>
                <w:sz w:val="24"/>
                <w:szCs w:val="24"/>
              </w:rPr>
              <w:t>名成交候选供应商。报价相同的，按技术指标优劣顺序排列。具体见</w:t>
            </w:r>
            <w:r>
              <w:rPr>
                <w:rFonts w:hint="eastAsia" w:ascii="宋体" w:hAnsi="宋体" w:cs="宋体"/>
                <w:color w:val="auto"/>
                <w:sz w:val="24"/>
                <w:szCs w:val="24"/>
              </w:rPr>
              <w:t>《询价供应商须知》第</w:t>
            </w:r>
            <w:r>
              <w:rPr>
                <w:rFonts w:ascii="宋体" w:hAnsi="宋体" w:cs="宋体"/>
                <w:color w:val="auto"/>
                <w:sz w:val="24"/>
                <w:szCs w:val="24"/>
              </w:rPr>
              <w:t>19.6</w:t>
            </w:r>
            <w:r>
              <w:rPr>
                <w:rFonts w:hint="eastAsia" w:ascii="宋体" w:hAnsi="宋体" w:cs="宋体"/>
                <w:color w:val="auto"/>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6"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7</w:t>
            </w:r>
          </w:p>
        </w:tc>
        <w:tc>
          <w:tcPr>
            <w:tcW w:w="945" w:type="dxa"/>
            <w:vAlign w:val="center"/>
          </w:tcPr>
          <w:p>
            <w:pPr>
              <w:spacing w:line="360" w:lineRule="auto"/>
              <w:ind w:firstLine="480" w:firstLineChars="200"/>
              <w:jc w:val="center"/>
              <w:rPr>
                <w:rFonts w:ascii="宋体"/>
                <w:color w:val="auto"/>
                <w:sz w:val="24"/>
                <w:szCs w:val="24"/>
              </w:rPr>
            </w:pPr>
          </w:p>
        </w:tc>
        <w:tc>
          <w:tcPr>
            <w:tcW w:w="7200" w:type="dxa"/>
            <w:vAlign w:val="center"/>
          </w:tcPr>
          <w:p>
            <w:pPr>
              <w:spacing w:line="420" w:lineRule="exact"/>
              <w:ind w:firstLine="480" w:firstLineChars="200"/>
              <w:rPr>
                <w:rFonts w:ascii="宋体"/>
                <w:color w:val="auto"/>
                <w:sz w:val="24"/>
                <w:szCs w:val="24"/>
              </w:rPr>
            </w:pPr>
            <w:r>
              <w:rPr>
                <w:rFonts w:hint="eastAsia" w:ascii="宋体" w:hAnsi="宋体" w:cs="宋体"/>
                <w:color w:val="auto"/>
                <w:sz w:val="24"/>
                <w:szCs w:val="24"/>
              </w:rPr>
              <w:t>成交服务费：参照国家计划委员会计价格［</w:t>
            </w:r>
            <w:r>
              <w:rPr>
                <w:rFonts w:ascii="宋体" w:hAnsi="宋体" w:cs="宋体"/>
                <w:color w:val="auto"/>
                <w:sz w:val="24"/>
                <w:szCs w:val="24"/>
              </w:rPr>
              <w:t>2002</w:t>
            </w:r>
            <w:r>
              <w:rPr>
                <w:rFonts w:hint="eastAsia" w:ascii="宋体" w:hAnsi="宋体" w:cs="宋体"/>
                <w:color w:val="auto"/>
                <w:sz w:val="24"/>
                <w:szCs w:val="24"/>
              </w:rPr>
              <w:t>］</w:t>
            </w:r>
            <w:r>
              <w:rPr>
                <w:rFonts w:ascii="宋体" w:hAnsi="宋体" w:cs="宋体"/>
                <w:color w:val="auto"/>
                <w:sz w:val="24"/>
                <w:szCs w:val="24"/>
              </w:rPr>
              <w:t>1980</w:t>
            </w:r>
            <w:r>
              <w:rPr>
                <w:rFonts w:hint="eastAsia" w:ascii="宋体" w:hAnsi="宋体" w:cs="宋体"/>
                <w:color w:val="auto"/>
                <w:sz w:val="24"/>
                <w:szCs w:val="24"/>
              </w:rPr>
              <w:t>号规定，本项目的招标代理服务费按下列标准向成交供应商收取，成交供应商在领取《成交通知书》前须将招标代理服务费缴至</w:t>
            </w:r>
            <w:r>
              <w:rPr>
                <w:rFonts w:hint="eastAsia" w:ascii="宋体" w:hAnsi="宋体"/>
                <w:b/>
                <w:color w:val="auto"/>
                <w:sz w:val="24"/>
              </w:rPr>
              <w:t>卓知项目管理顾问有限公司</w:t>
            </w:r>
            <w:r>
              <w:rPr>
                <w:rFonts w:hint="eastAsia" w:ascii="宋体" w:hAnsi="宋体" w:cs="宋体"/>
                <w:color w:val="auto"/>
                <w:sz w:val="24"/>
                <w:szCs w:val="24"/>
              </w:rPr>
              <w:t>账户。收到款项后，</w:t>
            </w:r>
            <w:r>
              <w:rPr>
                <w:rFonts w:hint="eastAsia" w:ascii="宋体" w:hAnsi="宋体"/>
                <w:b/>
                <w:color w:val="auto"/>
                <w:sz w:val="24"/>
              </w:rPr>
              <w:t>卓知项目管理顾问有限公司</w:t>
            </w:r>
            <w:r>
              <w:rPr>
                <w:rFonts w:hint="eastAsia" w:ascii="宋体" w:hAnsi="宋体" w:cs="宋体"/>
                <w:color w:val="auto"/>
                <w:sz w:val="24"/>
                <w:szCs w:val="24"/>
              </w:rPr>
              <w:t>出具正式发票。</w:t>
            </w:r>
          </w:p>
          <w:tbl>
            <w:tblPr>
              <w:tblStyle w:val="29"/>
              <w:tblW w:w="679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0"/>
              <w:gridCol w:w="229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color w:val="auto"/>
                      <w:kern w:val="0"/>
                      <w:sz w:val="24"/>
                      <w:szCs w:val="24"/>
                    </w:rPr>
                  </w:pPr>
                  <w:r>
                    <w:rPr>
                      <w:rFonts w:hint="eastAsia" w:ascii="宋体" w:hAnsi="宋体" w:cs="宋体"/>
                      <w:b/>
                      <w:bCs/>
                      <w:color w:val="auto"/>
                      <w:kern w:val="0"/>
                      <w:sz w:val="24"/>
                      <w:szCs w:val="24"/>
                    </w:rPr>
                    <w:t>中标金额（万元）</w:t>
                  </w:r>
                </w:p>
              </w:tc>
              <w:tc>
                <w:tcPr>
                  <w:tcW w:w="2295" w:type="dxa"/>
                  <w:tcBorders>
                    <w:top w:val="single" w:color="auto" w:sz="4" w:space="0"/>
                    <w:left w:val="single" w:color="auto" w:sz="4" w:space="0"/>
                    <w:bottom w:val="single" w:color="auto" w:sz="4" w:space="0"/>
                    <w:right w:val="single" w:color="auto" w:sz="12" w:space="0"/>
                  </w:tcBorders>
                  <w:vAlign w:val="center"/>
                </w:tcPr>
                <w:p>
                  <w:pPr>
                    <w:widowControl/>
                    <w:spacing w:line="420" w:lineRule="exact"/>
                    <w:jc w:val="center"/>
                    <w:rPr>
                      <w:rFonts w:ascii="宋体"/>
                      <w:color w:val="auto"/>
                      <w:kern w:val="0"/>
                      <w:sz w:val="24"/>
                      <w:szCs w:val="24"/>
                    </w:rPr>
                  </w:pPr>
                  <w:r>
                    <w:rPr>
                      <w:rFonts w:hint="eastAsia" w:ascii="宋体" w:hAnsi="宋体" w:cs="宋体"/>
                      <w:b/>
                      <w:bCs/>
                      <w:color w:val="auto"/>
                      <w:kern w:val="0"/>
                      <w:sz w:val="24"/>
                      <w:szCs w:val="24"/>
                    </w:rPr>
                    <w:t>服务费比率</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color w:val="auto"/>
                      <w:kern w:val="0"/>
                      <w:sz w:val="24"/>
                      <w:szCs w:val="24"/>
                    </w:rPr>
                  </w:pPr>
                  <w:r>
                    <w:rPr>
                      <w:rFonts w:hint="eastAsia" w:ascii="宋体" w:hAnsi="宋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 w:hRule="atLeast"/>
                <w:tblCellSpacing w:w="0" w:type="dxa"/>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color w:val="auto"/>
                      <w:kern w:val="0"/>
                      <w:sz w:val="24"/>
                      <w:szCs w:val="24"/>
                    </w:rPr>
                  </w:pPr>
                  <w:r>
                    <w:rPr>
                      <w:rFonts w:ascii="宋体" w:hAnsi="宋体" w:cs="宋体"/>
                      <w:color w:val="auto"/>
                      <w:kern w:val="0"/>
                      <w:sz w:val="24"/>
                      <w:szCs w:val="24"/>
                    </w:rPr>
                    <w:t>100</w:t>
                  </w:r>
                  <w:r>
                    <w:rPr>
                      <w:rFonts w:hint="eastAsia" w:ascii="宋体" w:hAnsi="宋体" w:cs="宋体"/>
                      <w:color w:val="auto"/>
                      <w:kern w:val="0"/>
                      <w:sz w:val="24"/>
                      <w:szCs w:val="24"/>
                    </w:rPr>
                    <w:t>以下</w:t>
                  </w:r>
                </w:p>
              </w:tc>
              <w:tc>
                <w:tcPr>
                  <w:tcW w:w="2295" w:type="dxa"/>
                  <w:tcBorders>
                    <w:top w:val="single" w:color="auto" w:sz="4" w:space="0"/>
                    <w:left w:val="single" w:color="auto" w:sz="4" w:space="0"/>
                    <w:bottom w:val="single" w:color="auto" w:sz="4" w:space="0"/>
                    <w:right w:val="single" w:color="auto" w:sz="12" w:space="0"/>
                  </w:tcBorders>
                  <w:vAlign w:val="center"/>
                </w:tcPr>
                <w:p>
                  <w:pPr>
                    <w:widowControl/>
                    <w:spacing w:line="420" w:lineRule="exact"/>
                    <w:jc w:val="center"/>
                    <w:rPr>
                      <w:rFonts w:ascii="宋体"/>
                      <w:color w:val="auto"/>
                      <w:kern w:val="0"/>
                      <w:sz w:val="24"/>
                      <w:szCs w:val="24"/>
                    </w:rPr>
                  </w:pPr>
                  <w:r>
                    <w:rPr>
                      <w:rFonts w:ascii="宋体" w:hAnsi="宋体" w:cs="宋体"/>
                      <w:color w:val="auto"/>
                      <w:kern w:val="0"/>
                      <w:sz w:val="24"/>
                      <w:szCs w:val="24"/>
                    </w:rPr>
                    <w:t>1.5</w:t>
                  </w:r>
                  <w:r>
                    <w:rPr>
                      <w:rFonts w:hint="eastAsia" w:ascii="宋体" w:hAnsi="宋体" w:cs="宋体"/>
                      <w:color w:val="auto"/>
                      <w:kern w:val="0"/>
                      <w:sz w:val="24"/>
                      <w:szCs w:val="24"/>
                    </w:rPr>
                    <w:t>％</w:t>
                  </w:r>
                </w:p>
              </w:tc>
              <w:tc>
                <w:tcPr>
                  <w:tcW w:w="1680" w:type="dxa"/>
                  <w:vMerge w:val="restart"/>
                  <w:tcBorders>
                    <w:top w:val="single" w:color="auto" w:sz="4" w:space="0"/>
                    <w:left w:val="single" w:color="auto" w:sz="4" w:space="0"/>
                    <w:bottom w:val="single" w:color="auto" w:sz="4" w:space="0"/>
                    <w:right w:val="single" w:color="auto" w:sz="4" w:space="0"/>
                  </w:tcBorders>
                </w:tcPr>
                <w:p>
                  <w:pPr>
                    <w:widowControl/>
                    <w:spacing w:line="420" w:lineRule="exact"/>
                    <w:rPr>
                      <w:rFonts w:ascii="宋体"/>
                      <w:color w:val="auto"/>
                      <w:kern w:val="0"/>
                      <w:sz w:val="24"/>
                      <w:szCs w:val="24"/>
                    </w:rPr>
                  </w:pPr>
                  <w:r>
                    <w:rPr>
                      <w:rFonts w:hint="eastAsia" w:ascii="宋体" w:hAnsi="宋体" w:cs="宋体"/>
                      <w:color w:val="auto"/>
                      <w:kern w:val="0"/>
                      <w:sz w:val="24"/>
                      <w:szCs w:val="24"/>
                    </w:rPr>
                    <w:t>招标代理服务费按差额定率累进法</w:t>
                  </w:r>
                  <w:r>
                    <w:rPr>
                      <w:rFonts w:hint="eastAsia" w:ascii="宋体" w:hAnsi="宋体" w:cs="宋体"/>
                      <w:color w:val="auto"/>
                      <w:kern w:val="0"/>
                      <w:sz w:val="24"/>
                      <w:szCs w:val="24"/>
                      <w:lang w:eastAsia="zh-CN"/>
                    </w:rPr>
                    <w:t>下浮</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tblCellSpacing w:w="0" w:type="dxa"/>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color w:val="auto"/>
                      <w:kern w:val="0"/>
                      <w:sz w:val="24"/>
                      <w:szCs w:val="24"/>
                    </w:rPr>
                  </w:pPr>
                  <w:r>
                    <w:rPr>
                      <w:rFonts w:ascii="宋体" w:hAnsi="宋体" w:cs="宋体"/>
                      <w:color w:val="auto"/>
                      <w:kern w:val="0"/>
                      <w:sz w:val="24"/>
                      <w:szCs w:val="24"/>
                    </w:rPr>
                    <w:t>100—500</w:t>
                  </w:r>
                </w:p>
              </w:tc>
              <w:tc>
                <w:tcPr>
                  <w:tcW w:w="2295" w:type="dxa"/>
                  <w:tcBorders>
                    <w:top w:val="single" w:color="auto" w:sz="4" w:space="0"/>
                    <w:left w:val="single" w:color="auto" w:sz="4" w:space="0"/>
                    <w:bottom w:val="single" w:color="auto" w:sz="4" w:space="0"/>
                    <w:right w:val="single" w:color="auto" w:sz="12" w:space="0"/>
                  </w:tcBorders>
                  <w:vAlign w:val="center"/>
                </w:tcPr>
                <w:p>
                  <w:pPr>
                    <w:widowControl/>
                    <w:spacing w:line="420" w:lineRule="exact"/>
                    <w:jc w:val="center"/>
                    <w:rPr>
                      <w:rFonts w:ascii="宋体"/>
                      <w:color w:val="auto"/>
                      <w:kern w:val="0"/>
                      <w:sz w:val="24"/>
                      <w:szCs w:val="24"/>
                    </w:rPr>
                  </w:pPr>
                  <w:r>
                    <w:rPr>
                      <w:rFonts w:ascii="宋体" w:hAnsi="宋体" w:cs="宋体"/>
                      <w:color w:val="auto"/>
                      <w:kern w:val="0"/>
                      <w:sz w:val="24"/>
                      <w:szCs w:val="24"/>
                    </w:rPr>
                    <w:t>1.1</w:t>
                  </w:r>
                  <w:r>
                    <w:rPr>
                      <w:rFonts w:hint="eastAsia" w:ascii="宋体" w:hAnsi="宋体" w:cs="宋体"/>
                      <w:color w:val="auto"/>
                      <w:kern w:val="0"/>
                      <w:sz w:val="24"/>
                      <w:szCs w:val="24"/>
                    </w:rPr>
                    <w:t>％</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9" w:hRule="atLeast"/>
                <w:tblCellSpacing w:w="0" w:type="dxa"/>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color w:val="auto"/>
                      <w:kern w:val="0"/>
                      <w:sz w:val="24"/>
                      <w:szCs w:val="24"/>
                    </w:rPr>
                  </w:pPr>
                  <w:r>
                    <w:rPr>
                      <w:rFonts w:ascii="宋体" w:hAnsi="宋体" w:cs="宋体"/>
                      <w:color w:val="auto"/>
                      <w:kern w:val="0"/>
                      <w:sz w:val="24"/>
                      <w:szCs w:val="24"/>
                    </w:rPr>
                    <w:t>500-1000</w:t>
                  </w:r>
                </w:p>
              </w:tc>
              <w:tc>
                <w:tcPr>
                  <w:tcW w:w="2295" w:type="dxa"/>
                  <w:tcBorders>
                    <w:top w:val="single" w:color="auto" w:sz="4" w:space="0"/>
                    <w:left w:val="single" w:color="auto" w:sz="4" w:space="0"/>
                    <w:bottom w:val="single" w:color="auto" w:sz="4" w:space="0"/>
                    <w:right w:val="single" w:color="auto" w:sz="12" w:space="0"/>
                  </w:tcBorders>
                  <w:vAlign w:val="center"/>
                </w:tcPr>
                <w:p>
                  <w:pPr>
                    <w:widowControl/>
                    <w:spacing w:line="420" w:lineRule="exact"/>
                    <w:jc w:val="center"/>
                    <w:rPr>
                      <w:rFonts w:ascii="宋体"/>
                      <w:color w:val="auto"/>
                      <w:kern w:val="0"/>
                      <w:sz w:val="24"/>
                      <w:szCs w:val="24"/>
                    </w:rPr>
                  </w:pPr>
                  <w:r>
                    <w:rPr>
                      <w:rFonts w:ascii="宋体" w:hAnsi="宋体" w:cs="宋体"/>
                      <w:color w:val="auto"/>
                      <w:kern w:val="0"/>
                      <w:sz w:val="24"/>
                      <w:szCs w:val="24"/>
                    </w:rPr>
                    <w:t>0.8</w:t>
                  </w:r>
                  <w:r>
                    <w:rPr>
                      <w:rFonts w:hint="eastAsia" w:ascii="宋体" w:hAnsi="宋体" w:cs="宋体"/>
                      <w:color w:val="auto"/>
                      <w:kern w:val="0"/>
                      <w:sz w:val="24"/>
                      <w:szCs w:val="24"/>
                    </w:rPr>
                    <w:t>％</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7" w:hRule="atLeast"/>
                <w:tblCellSpacing w:w="0" w:type="dxa"/>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color w:val="auto"/>
                      <w:kern w:val="0"/>
                      <w:sz w:val="24"/>
                      <w:szCs w:val="24"/>
                    </w:rPr>
                  </w:pPr>
                  <w:r>
                    <w:rPr>
                      <w:rFonts w:ascii="宋体" w:hAnsi="宋体" w:cs="宋体"/>
                      <w:color w:val="auto"/>
                      <w:kern w:val="0"/>
                      <w:sz w:val="24"/>
                      <w:szCs w:val="24"/>
                    </w:rPr>
                    <w:t>1000—5000</w:t>
                  </w:r>
                </w:p>
              </w:tc>
              <w:tc>
                <w:tcPr>
                  <w:tcW w:w="2295" w:type="dxa"/>
                  <w:tcBorders>
                    <w:top w:val="single" w:color="auto" w:sz="4" w:space="0"/>
                    <w:left w:val="single" w:color="auto" w:sz="4" w:space="0"/>
                    <w:bottom w:val="single" w:color="auto" w:sz="4" w:space="0"/>
                    <w:right w:val="single" w:color="auto" w:sz="12" w:space="0"/>
                  </w:tcBorders>
                  <w:vAlign w:val="center"/>
                </w:tcPr>
                <w:p>
                  <w:pPr>
                    <w:widowControl/>
                    <w:spacing w:line="420" w:lineRule="exact"/>
                    <w:jc w:val="center"/>
                    <w:rPr>
                      <w:rFonts w:ascii="宋体"/>
                      <w:color w:val="auto"/>
                      <w:kern w:val="0"/>
                      <w:sz w:val="24"/>
                      <w:szCs w:val="24"/>
                    </w:rPr>
                  </w:pPr>
                  <w:r>
                    <w:rPr>
                      <w:rFonts w:ascii="宋体" w:hAnsi="宋体" w:cs="宋体"/>
                      <w:color w:val="auto"/>
                      <w:kern w:val="0"/>
                      <w:sz w:val="24"/>
                      <w:szCs w:val="24"/>
                    </w:rPr>
                    <w:t>0.5</w:t>
                  </w:r>
                  <w:r>
                    <w:rPr>
                      <w:rFonts w:hint="eastAsia" w:ascii="宋体" w:hAnsi="宋体" w:cs="宋体"/>
                      <w:color w:val="auto"/>
                      <w:kern w:val="0"/>
                      <w:sz w:val="24"/>
                      <w:szCs w:val="24"/>
                    </w:rPr>
                    <w:t>％</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color w:val="auto"/>
                      <w:kern w:val="0"/>
                      <w:sz w:val="24"/>
                      <w:szCs w:val="24"/>
                    </w:rPr>
                  </w:pPr>
                </w:p>
              </w:tc>
            </w:tr>
          </w:tbl>
          <w:p>
            <w:pPr>
              <w:spacing w:line="420" w:lineRule="exact"/>
              <w:rPr>
                <w:rFonts w:ascii="宋体" w:hAnsi="宋体"/>
                <w:color w:val="auto"/>
                <w:sz w:val="24"/>
              </w:rPr>
            </w:pPr>
            <w:r>
              <w:rPr>
                <w:rFonts w:hint="eastAsia" w:ascii="宋体" w:hAnsi="宋体"/>
                <w:color w:val="auto"/>
                <w:sz w:val="24"/>
              </w:rPr>
              <w:t>招标服务费缴交账户名称：卓知项目管理顾问有限公司龙岩分公司</w:t>
            </w:r>
          </w:p>
          <w:p>
            <w:pPr>
              <w:spacing w:line="420" w:lineRule="exact"/>
              <w:rPr>
                <w:rFonts w:ascii="宋体" w:hAnsi="宋体"/>
                <w:color w:val="auto"/>
                <w:sz w:val="24"/>
              </w:rPr>
            </w:pPr>
            <w:r>
              <w:rPr>
                <w:rFonts w:hint="eastAsia" w:ascii="宋体" w:hAnsi="宋体"/>
                <w:color w:val="auto"/>
                <w:sz w:val="24"/>
              </w:rPr>
              <w:t>账号：1410090109900038630（非询价保证金账号）</w:t>
            </w:r>
          </w:p>
          <w:p>
            <w:pPr>
              <w:spacing w:line="360" w:lineRule="auto"/>
              <w:rPr>
                <w:rFonts w:hAnsi="宋体"/>
                <w:color w:val="auto"/>
                <w:sz w:val="24"/>
                <w:szCs w:val="24"/>
              </w:rPr>
            </w:pPr>
            <w:r>
              <w:rPr>
                <w:rFonts w:hint="eastAsia" w:ascii="宋体" w:hAnsi="宋体"/>
                <w:color w:val="auto"/>
                <w:sz w:val="24"/>
              </w:rPr>
              <w:t>开户银行：中国工商银行龙岩分行龙津支行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8</w:t>
            </w:r>
          </w:p>
        </w:tc>
        <w:tc>
          <w:tcPr>
            <w:tcW w:w="945" w:type="dxa"/>
            <w:vAlign w:val="center"/>
          </w:tcPr>
          <w:p>
            <w:pPr>
              <w:spacing w:line="360" w:lineRule="auto"/>
              <w:ind w:firstLine="480" w:firstLineChars="200"/>
              <w:jc w:val="center"/>
              <w:rPr>
                <w:rFonts w:ascii="宋体"/>
                <w:color w:val="auto"/>
                <w:sz w:val="24"/>
                <w:szCs w:val="24"/>
              </w:rPr>
            </w:pPr>
          </w:p>
        </w:tc>
        <w:tc>
          <w:tcPr>
            <w:tcW w:w="7200" w:type="dxa"/>
            <w:vAlign w:val="center"/>
          </w:tcPr>
          <w:p>
            <w:pPr>
              <w:spacing w:line="360" w:lineRule="auto"/>
              <w:ind w:firstLine="480" w:firstLineChars="200"/>
              <w:rPr>
                <w:rFonts w:ascii="宋体"/>
                <w:color w:val="auto"/>
                <w:sz w:val="24"/>
                <w:szCs w:val="24"/>
              </w:rPr>
            </w:pPr>
            <w:r>
              <w:rPr>
                <w:rFonts w:hint="eastAsia" w:ascii="宋体" w:hAnsi="宋体" w:cs="宋体"/>
                <w:color w:val="auto"/>
                <w:sz w:val="24"/>
                <w:szCs w:val="24"/>
              </w:rPr>
              <w:t>采购项目监督部门：</w:t>
            </w:r>
            <w:r>
              <w:rPr>
                <w:rFonts w:hint="eastAsia" w:ascii="宋体" w:hAnsi="宋体"/>
                <w:color w:val="auto"/>
                <w:sz w:val="24"/>
              </w:rPr>
              <w:t>龙岩学院国资处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9</w:t>
            </w:r>
          </w:p>
        </w:tc>
        <w:tc>
          <w:tcPr>
            <w:tcW w:w="945" w:type="dxa"/>
            <w:vAlign w:val="center"/>
          </w:tcPr>
          <w:p>
            <w:pPr>
              <w:spacing w:line="360" w:lineRule="auto"/>
              <w:ind w:firstLine="480" w:firstLineChars="200"/>
              <w:jc w:val="center"/>
              <w:rPr>
                <w:rFonts w:ascii="宋体"/>
                <w:color w:val="auto"/>
                <w:sz w:val="24"/>
                <w:szCs w:val="24"/>
              </w:rPr>
            </w:pPr>
          </w:p>
        </w:tc>
        <w:tc>
          <w:tcPr>
            <w:tcW w:w="7200" w:type="dxa"/>
            <w:vAlign w:val="center"/>
          </w:tcPr>
          <w:p>
            <w:pPr>
              <w:spacing w:line="360" w:lineRule="auto"/>
              <w:ind w:firstLine="482" w:firstLineChars="200"/>
              <w:rPr>
                <w:rFonts w:ascii="宋体"/>
                <w:b/>
                <w:bCs/>
                <w:color w:val="auto"/>
                <w:sz w:val="24"/>
                <w:szCs w:val="24"/>
                <w:u w:val="single"/>
              </w:rPr>
            </w:pPr>
            <w:r>
              <w:rPr>
                <w:rFonts w:hint="eastAsia" w:ascii="宋体" w:hAnsi="宋体" w:cs="宋体"/>
                <w:b/>
                <w:bCs/>
                <w:color w:val="auto"/>
                <w:sz w:val="24"/>
                <w:szCs w:val="24"/>
              </w:rPr>
              <w:t>本项目采购预算价为：</w:t>
            </w:r>
            <w:r>
              <w:rPr>
                <w:rFonts w:hint="eastAsia" w:hAnsi="宋体"/>
                <w:b/>
                <w:bCs/>
                <w:color w:val="auto"/>
                <w:sz w:val="24"/>
                <w:szCs w:val="24"/>
                <w:lang w:val="en-US" w:eastAsia="zh-CN"/>
              </w:rPr>
              <w:t>1219000</w:t>
            </w:r>
            <w:r>
              <w:rPr>
                <w:rFonts w:hint="eastAsia" w:ascii="宋体" w:hAnsi="宋体" w:cs="宋体"/>
                <w:b/>
                <w:bCs/>
                <w:color w:val="auto"/>
                <w:sz w:val="24"/>
                <w:szCs w:val="24"/>
              </w:rPr>
              <w:t>元。</w:t>
            </w:r>
          </w:p>
          <w:p>
            <w:pPr>
              <w:spacing w:line="360" w:lineRule="auto"/>
              <w:ind w:firstLine="482" w:firstLineChars="200"/>
              <w:rPr>
                <w:rFonts w:ascii="宋体"/>
                <w:color w:val="auto"/>
                <w:sz w:val="24"/>
                <w:szCs w:val="24"/>
              </w:rPr>
            </w:pPr>
            <w:r>
              <w:rPr>
                <w:rFonts w:hint="eastAsia" w:ascii="宋体" w:hAnsi="宋体" w:cs="宋体"/>
                <w:b/>
                <w:bCs/>
                <w:color w:val="auto"/>
                <w:sz w:val="24"/>
                <w:szCs w:val="24"/>
              </w:rPr>
              <w:t>本项目设有预算总价，询价供应商报价超过预算总价的，询价将被拒绝</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780"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10</w:t>
            </w:r>
          </w:p>
        </w:tc>
        <w:tc>
          <w:tcPr>
            <w:tcW w:w="945" w:type="dxa"/>
            <w:vAlign w:val="center"/>
          </w:tcPr>
          <w:p>
            <w:pPr>
              <w:spacing w:line="360" w:lineRule="auto"/>
              <w:ind w:firstLine="480" w:firstLineChars="200"/>
              <w:jc w:val="center"/>
              <w:rPr>
                <w:rFonts w:ascii="宋体"/>
                <w:color w:val="auto"/>
                <w:sz w:val="24"/>
                <w:szCs w:val="24"/>
              </w:rPr>
            </w:pPr>
          </w:p>
        </w:tc>
        <w:tc>
          <w:tcPr>
            <w:tcW w:w="7200" w:type="dxa"/>
            <w:vAlign w:val="center"/>
          </w:tcPr>
          <w:p>
            <w:pPr>
              <w:pStyle w:val="16"/>
              <w:spacing w:line="360" w:lineRule="auto"/>
              <w:ind w:firstLine="480" w:firstLineChars="200"/>
              <w:jc w:val="left"/>
              <w:rPr>
                <w:rFonts w:hAnsi="宋体"/>
                <w:color w:val="auto"/>
                <w:sz w:val="24"/>
                <w:szCs w:val="24"/>
              </w:rPr>
            </w:pPr>
            <w:r>
              <w:rPr>
                <w:rFonts w:hint="eastAsia" w:hAnsi="宋体"/>
                <w:color w:val="auto"/>
                <w:sz w:val="24"/>
                <w:szCs w:val="24"/>
              </w:rPr>
              <w:t>履约保证金：不要求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lang w:val="en-US" w:eastAsia="zh-CN"/>
              </w:rPr>
              <w:t>1</w:t>
            </w:r>
          </w:p>
        </w:tc>
        <w:tc>
          <w:tcPr>
            <w:tcW w:w="945" w:type="dxa"/>
            <w:vAlign w:val="center"/>
          </w:tcPr>
          <w:p>
            <w:pPr>
              <w:spacing w:line="360" w:lineRule="auto"/>
              <w:rPr>
                <w:rFonts w:ascii="宋体"/>
                <w:color w:val="auto"/>
                <w:sz w:val="24"/>
                <w:szCs w:val="24"/>
              </w:rPr>
            </w:pPr>
          </w:p>
        </w:tc>
        <w:tc>
          <w:tcPr>
            <w:tcW w:w="7200" w:type="dxa"/>
            <w:vAlign w:val="center"/>
          </w:tcPr>
          <w:p>
            <w:pPr>
              <w:spacing w:line="360" w:lineRule="auto"/>
              <w:rPr>
                <w:rFonts w:ascii="宋体"/>
                <w:color w:val="auto"/>
                <w:sz w:val="24"/>
                <w:szCs w:val="24"/>
              </w:rPr>
            </w:pPr>
            <w:r>
              <w:rPr>
                <w:rFonts w:hint="eastAsia" w:ascii="宋体" w:hAnsi="宋体" w:cs="宋体"/>
                <w:color w:val="auto"/>
                <w:sz w:val="24"/>
                <w:szCs w:val="24"/>
              </w:rPr>
              <w:t>无效投标及废标具体条款：</w:t>
            </w:r>
          </w:p>
          <w:p>
            <w:pPr>
              <w:spacing w:line="360" w:lineRule="auto"/>
              <w:rPr>
                <w:rFonts w:ascii="宋体" w:hAnsi="宋体"/>
                <w:color w:val="auto"/>
                <w:sz w:val="24"/>
              </w:rPr>
            </w:pPr>
            <w:r>
              <w:rPr>
                <w:rFonts w:hint="eastAsia" w:ascii="宋体" w:hAnsi="宋体"/>
                <w:color w:val="auto"/>
                <w:sz w:val="24"/>
              </w:rPr>
              <w:t xml:space="preserve">1、第二章 询价供应商须知 </w:t>
            </w:r>
            <w:r>
              <w:rPr>
                <w:rFonts w:hint="eastAsia" w:ascii="宋体" w:hAnsi="宋体"/>
                <w:b/>
                <w:color w:val="auto"/>
                <w:sz w:val="24"/>
              </w:rPr>
              <w:t>3.3、17.3、19.2.2、19.2.3、19.2.4、19.4、19.5；</w:t>
            </w:r>
          </w:p>
          <w:p>
            <w:pPr>
              <w:spacing w:line="360" w:lineRule="auto"/>
              <w:rPr>
                <w:rFonts w:ascii="宋体" w:hAnsi="宋体"/>
                <w:color w:val="auto"/>
                <w:sz w:val="24"/>
              </w:rPr>
            </w:pPr>
            <w:r>
              <w:rPr>
                <w:rFonts w:hint="eastAsia" w:ascii="宋体" w:hAnsi="宋体"/>
                <w:color w:val="auto"/>
                <w:sz w:val="24"/>
              </w:rPr>
              <w:t>2、第三章 询价内容及要求“以下技术参数要求中关于重量、尺寸、体积等要求表述为固定数值，未作出大于、小于等表示幅度的允许正负偏离1%，供应商投报超出偏离范围的，报价无效。”</w:t>
            </w:r>
          </w:p>
          <w:p>
            <w:pPr>
              <w:spacing w:line="360" w:lineRule="auto"/>
              <w:rPr>
                <w:rFonts w:ascii="宋体"/>
                <w:color w:val="auto"/>
                <w:sz w:val="24"/>
                <w:szCs w:val="24"/>
              </w:rPr>
            </w:pPr>
            <w:r>
              <w:rPr>
                <w:rFonts w:hint="eastAsia" w:ascii="宋体" w:hAnsi="宋体"/>
                <w:color w:val="auto"/>
                <w:sz w:val="24"/>
              </w:rPr>
              <w:t xml:space="preserve">3、第三章 </w:t>
            </w:r>
            <w:r>
              <w:rPr>
                <w:rFonts w:hint="eastAsia" w:ascii="宋体" w:hAnsi="宋体"/>
                <w:b/>
                <w:color w:val="auto"/>
                <w:sz w:val="24"/>
              </w:rPr>
              <w:t>询价内容及要求“</w:t>
            </w:r>
            <w:r>
              <w:rPr>
                <w:rFonts w:hint="eastAsia" w:ascii="宋体" w:hAnsi="宋体"/>
                <w:b/>
                <w:color w:val="auto"/>
                <w:sz w:val="24"/>
                <w:u w:val="single"/>
              </w:rPr>
              <w:t>1.供应商投报时须实质性满足《第三章  询价内容及要求》二、技术参数要求、三、其他要求的所有要求，否则视为重大偏离，报价无效。成交供应商如无法按上述要求实施的，将被取消成交资格。</w:t>
            </w:r>
            <w:r>
              <w:rPr>
                <w:rFonts w:hint="eastAsia" w:ascii="宋体" w:hAnsi="宋体"/>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vAlign w:val="center"/>
          </w:tcPr>
          <w:p>
            <w:pPr>
              <w:spacing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lang w:val="en-US" w:eastAsia="zh-CN"/>
              </w:rPr>
              <w:t>2</w:t>
            </w:r>
          </w:p>
        </w:tc>
        <w:tc>
          <w:tcPr>
            <w:tcW w:w="945" w:type="dxa"/>
            <w:vAlign w:val="center"/>
          </w:tcPr>
          <w:p>
            <w:pPr>
              <w:spacing w:line="360" w:lineRule="auto"/>
              <w:rPr>
                <w:rFonts w:ascii="宋体"/>
                <w:color w:val="auto"/>
                <w:sz w:val="24"/>
                <w:szCs w:val="24"/>
              </w:rPr>
            </w:pPr>
            <w:r>
              <w:rPr>
                <w:rFonts w:ascii="宋体" w:hAnsi="宋体" w:cs="宋体"/>
                <w:color w:val="auto"/>
                <w:sz w:val="24"/>
                <w:szCs w:val="24"/>
              </w:rPr>
              <w:t>24.2</w:t>
            </w:r>
          </w:p>
        </w:tc>
        <w:tc>
          <w:tcPr>
            <w:tcW w:w="7200" w:type="dxa"/>
            <w:vAlign w:val="center"/>
          </w:tcPr>
          <w:p>
            <w:pPr>
              <w:spacing w:line="360" w:lineRule="auto"/>
              <w:rPr>
                <w:rFonts w:ascii="宋体"/>
                <w:color w:val="auto"/>
                <w:sz w:val="24"/>
                <w:szCs w:val="24"/>
              </w:rPr>
            </w:pPr>
            <w:r>
              <w:rPr>
                <w:rFonts w:hint="eastAsia" w:ascii="宋体" w:hAnsi="宋体" w:cs="宋体"/>
                <w:color w:val="auto"/>
                <w:sz w:val="24"/>
                <w:szCs w:val="24"/>
              </w:rPr>
              <w:t>对询价通知书的质疑时间：递交响应文件截止前</w:t>
            </w:r>
            <w:r>
              <w:rPr>
                <w:rFonts w:ascii="宋体" w:hAnsi="宋体" w:cs="宋体"/>
                <w:color w:val="auto"/>
                <w:sz w:val="24"/>
                <w:szCs w:val="24"/>
              </w:rPr>
              <w:t>2</w:t>
            </w:r>
            <w:r>
              <w:rPr>
                <w:rFonts w:hint="eastAsia" w:ascii="宋体" w:hAnsi="宋体" w:cs="宋体"/>
                <w:color w:val="auto"/>
                <w:sz w:val="24"/>
                <w:szCs w:val="24"/>
              </w:rPr>
              <w:t>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vAlign w:val="center"/>
          </w:tcPr>
          <w:p>
            <w:pPr>
              <w:spacing w:line="360" w:lineRule="auto"/>
              <w:rPr>
                <w:rFonts w:ascii="宋体" w:hAnsi="宋体" w:cs="宋体"/>
                <w:color w:val="auto"/>
                <w:sz w:val="24"/>
                <w:szCs w:val="24"/>
              </w:rPr>
            </w:pPr>
            <w:r>
              <w:rPr>
                <w:rFonts w:hint="eastAsia" w:ascii="宋体" w:hAnsi="宋体"/>
                <w:color w:val="auto"/>
                <w:sz w:val="24"/>
              </w:rPr>
              <w:t>1</w:t>
            </w:r>
            <w:r>
              <w:rPr>
                <w:rFonts w:hint="eastAsia" w:ascii="宋体" w:hAnsi="宋体"/>
                <w:color w:val="auto"/>
                <w:sz w:val="24"/>
                <w:lang w:val="en-US" w:eastAsia="zh-CN"/>
              </w:rPr>
              <w:t>3</w:t>
            </w:r>
          </w:p>
        </w:tc>
        <w:tc>
          <w:tcPr>
            <w:tcW w:w="945" w:type="dxa"/>
            <w:vAlign w:val="center"/>
          </w:tcPr>
          <w:p>
            <w:pPr>
              <w:spacing w:line="360" w:lineRule="auto"/>
              <w:rPr>
                <w:rFonts w:ascii="宋体" w:hAnsi="宋体" w:cs="宋体"/>
                <w:color w:val="auto"/>
                <w:sz w:val="24"/>
                <w:szCs w:val="24"/>
              </w:rPr>
            </w:pPr>
          </w:p>
        </w:tc>
        <w:tc>
          <w:tcPr>
            <w:tcW w:w="7200" w:type="dxa"/>
            <w:vAlign w:val="center"/>
          </w:tcPr>
          <w:p>
            <w:pPr>
              <w:spacing w:line="360" w:lineRule="auto"/>
              <w:rPr>
                <w:rFonts w:ascii="宋体" w:hAnsi="宋体" w:cs="宋体"/>
                <w:color w:val="auto"/>
                <w:sz w:val="24"/>
                <w:szCs w:val="24"/>
              </w:rPr>
            </w:pPr>
            <w:r>
              <w:rPr>
                <w:rFonts w:hint="eastAsia" w:ascii="宋体" w:hAnsi="宋体"/>
                <w:color w:val="auto"/>
                <w:sz w:val="24"/>
              </w:rPr>
              <w:t>本项目是否接受联合体：否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vAlign w:val="center"/>
          </w:tcPr>
          <w:p>
            <w:pPr>
              <w:spacing w:line="360" w:lineRule="auto"/>
              <w:rPr>
                <w:rFonts w:hint="eastAsia" w:ascii="宋体" w:hAnsi="宋体" w:eastAsia="宋体"/>
                <w:color w:val="auto"/>
                <w:sz w:val="24"/>
                <w:lang w:val="en-US" w:eastAsia="zh-CN"/>
              </w:rPr>
            </w:pPr>
            <w:r>
              <w:rPr>
                <w:rFonts w:hint="eastAsia" w:ascii="宋体" w:hAnsi="宋体"/>
                <w:color w:val="auto"/>
                <w:sz w:val="24"/>
                <w:lang w:val="en-US" w:eastAsia="zh-CN"/>
              </w:rPr>
              <w:t>14</w:t>
            </w:r>
          </w:p>
        </w:tc>
        <w:tc>
          <w:tcPr>
            <w:tcW w:w="945" w:type="dxa"/>
            <w:vAlign w:val="center"/>
          </w:tcPr>
          <w:p>
            <w:pPr>
              <w:spacing w:line="360" w:lineRule="auto"/>
              <w:rPr>
                <w:rFonts w:ascii="宋体" w:hAnsi="宋体" w:cs="宋体"/>
                <w:color w:val="auto"/>
                <w:sz w:val="24"/>
                <w:szCs w:val="24"/>
              </w:rPr>
            </w:pPr>
          </w:p>
        </w:tc>
        <w:tc>
          <w:tcPr>
            <w:tcW w:w="7200" w:type="dxa"/>
            <w:vAlign w:val="center"/>
          </w:tcPr>
          <w:p>
            <w:pPr>
              <w:spacing w:line="360" w:lineRule="auto"/>
              <w:rPr>
                <w:rFonts w:hint="eastAsia" w:ascii="宋体" w:hAnsi="宋体"/>
                <w:color w:val="auto"/>
                <w:sz w:val="24"/>
              </w:rPr>
            </w:pPr>
            <w:r>
              <w:rPr>
                <w:rFonts w:hint="eastAsia" w:ascii="宋体" w:hAnsi="宋体"/>
                <w:sz w:val="24"/>
                <w:lang w:eastAsia="zh-CN"/>
              </w:rPr>
              <w:t>其他：</w:t>
            </w:r>
            <w:r>
              <w:rPr>
                <w:rFonts w:hint="eastAsia" w:ascii="宋体" w:hAnsi="宋体"/>
                <w:sz w:val="24"/>
              </w:rPr>
              <w:t>递交人员在疫情防控期间应做好个人防疫措施（根据疫情防控部门要求，公共场所实行戴口罩、测体温及“三码联查”(即查健康码、行程码、疫苗接种标识)等疫情防控措施，相关人员应提前通过“闽证通”APP申请“福建健康码”等以便核查，否则自行承担无法进场的责任）。根据疫情防控需要，来自中高风险地区（或行程码带*号）或出现红/黄码等异常情况的投标人员不得进入开标现场；疫情防控要求具体以开标时所在地疫情防控应急指挥部规定为准。</w:t>
            </w:r>
          </w:p>
        </w:tc>
      </w:tr>
    </w:tbl>
    <w:p>
      <w:pPr>
        <w:pStyle w:val="2"/>
        <w:numPr>
          <w:ilvl w:val="0"/>
          <w:numId w:val="0"/>
        </w:numPr>
        <w:rPr>
          <w:rFonts w:hint="eastAsia" w:cs="宋体"/>
          <w:color w:val="auto"/>
        </w:rPr>
      </w:pPr>
      <w:bookmarkStart w:id="19" w:name="_Toc11297"/>
      <w:bookmarkStart w:id="20" w:name="_Toc1428"/>
      <w:bookmarkStart w:id="21" w:name="_Toc24902"/>
      <w:r>
        <w:rPr>
          <w:rFonts w:hint="eastAsia" w:cs="宋体"/>
          <w:color w:val="auto"/>
        </w:rPr>
        <w:br w:type="page"/>
      </w:r>
    </w:p>
    <w:p>
      <w:pPr>
        <w:pStyle w:val="2"/>
        <w:numPr>
          <w:ilvl w:val="0"/>
          <w:numId w:val="0"/>
        </w:numPr>
        <w:rPr>
          <w:rFonts w:cs="Times New Roman"/>
          <w:color w:val="auto"/>
        </w:rPr>
      </w:pPr>
      <w:r>
        <w:rPr>
          <w:rFonts w:hint="eastAsia" w:cs="宋体"/>
          <w:color w:val="auto"/>
        </w:rPr>
        <w:t>一、说明</w:t>
      </w:r>
      <w:bookmarkEnd w:id="19"/>
      <w:bookmarkEnd w:id="20"/>
      <w:bookmarkEnd w:id="21"/>
    </w:p>
    <w:p>
      <w:pPr>
        <w:spacing w:line="360" w:lineRule="auto"/>
        <w:ind w:firstLine="480" w:firstLineChars="200"/>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适用范围</w:t>
      </w:r>
    </w:p>
    <w:p>
      <w:pPr>
        <w:spacing w:line="360" w:lineRule="auto"/>
        <w:ind w:firstLine="480" w:firstLineChars="20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本询价通知书仅适用于询价邀请中所叙述项目的货物及服务采购。</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定义</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2.1 </w:t>
      </w:r>
      <w:r>
        <w:rPr>
          <w:rFonts w:hint="eastAsia" w:ascii="宋体" w:hAnsi="宋体" w:cs="宋体"/>
          <w:color w:val="auto"/>
          <w:sz w:val="24"/>
          <w:szCs w:val="24"/>
        </w:rPr>
        <w:t>“采购人”系指本次采购项目的业主方。</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2.2 </w:t>
      </w:r>
      <w:r>
        <w:rPr>
          <w:rFonts w:hint="eastAsia" w:ascii="宋体" w:hAnsi="宋体" w:cs="宋体"/>
          <w:color w:val="auto"/>
          <w:sz w:val="24"/>
          <w:szCs w:val="24"/>
        </w:rPr>
        <w:t>“采购代理机构”系指组织本次询价采购的卓知项目管理顾问有限公司。</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asci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“询价供应商”系指购买了本询价通知书，且已经提交或者准备提交本次询价响应文件的供应商。</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2.4 </w:t>
      </w:r>
      <w:r>
        <w:rPr>
          <w:rFonts w:hint="eastAsia" w:ascii="宋体" w:hAnsi="宋体" w:cs="宋体"/>
          <w:color w:val="auto"/>
          <w:sz w:val="24"/>
          <w:szCs w:val="24"/>
        </w:rPr>
        <w:t>“货物”系指卖方按询价通知书规定向买方提供的一切设备、机械、仪器仪表、备品备件、工具、手册及其它有关技术资料和材料。</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2.5 </w:t>
      </w:r>
      <w:r>
        <w:rPr>
          <w:rFonts w:hint="eastAsia" w:ascii="宋体" w:hAnsi="宋体" w:cs="宋体"/>
          <w:color w:val="auto"/>
          <w:sz w:val="24"/>
          <w:szCs w:val="24"/>
        </w:rPr>
        <w:t>“服务”系指询价通知书规定卖方须承担的安装、调试、技术协助、校准、培训以及其他类似的义务。</w:t>
      </w:r>
    </w:p>
    <w:p>
      <w:pPr>
        <w:spacing w:line="360" w:lineRule="auto"/>
        <w:ind w:firstLine="480" w:firstLineChars="200"/>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合格的询价供应商</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3.1</w:t>
      </w:r>
      <w:r>
        <w:rPr>
          <w:rFonts w:hint="eastAsia" w:ascii="宋体" w:hAnsi="宋体" w:cs="宋体"/>
          <w:color w:val="auto"/>
          <w:sz w:val="24"/>
          <w:szCs w:val="24"/>
        </w:rPr>
        <w:t>凡有能力提供本询价通知书所述货物及服务的，具有法人资格的境内供应商均可能成为合格的询价供应商。</w:t>
      </w:r>
    </w:p>
    <w:p>
      <w:pPr>
        <w:spacing w:line="360" w:lineRule="auto"/>
        <w:ind w:firstLine="480" w:firstLineChars="200"/>
        <w:rPr>
          <w:rFonts w:ascii="宋体"/>
          <w:color w:val="auto"/>
          <w:sz w:val="24"/>
          <w:szCs w:val="24"/>
        </w:rPr>
      </w:pPr>
      <w:r>
        <w:rPr>
          <w:rFonts w:ascii="宋体" w:hAnsi="宋体" w:cs="宋体"/>
          <w:color w:val="auto"/>
          <w:sz w:val="24"/>
          <w:szCs w:val="24"/>
        </w:rPr>
        <w:t xml:space="preserve">3.2 </w:t>
      </w:r>
      <w:r>
        <w:rPr>
          <w:rFonts w:hint="eastAsia" w:ascii="宋体" w:hAnsi="宋体" w:cs="宋体"/>
          <w:color w:val="auto"/>
          <w:sz w:val="24"/>
          <w:szCs w:val="24"/>
        </w:rPr>
        <w:t>询价供应商</w:t>
      </w:r>
      <w:r>
        <w:rPr>
          <w:rFonts w:hint="eastAsia" w:ascii="宋体" w:hAnsi="宋体" w:cs="宋体"/>
          <w:color w:val="auto"/>
          <w:sz w:val="24"/>
          <w:szCs w:val="24"/>
          <w:lang w:val="zh-CN"/>
        </w:rPr>
        <w:t>必须具有有效的消</w:t>
      </w:r>
      <w:r>
        <w:rPr>
          <w:rFonts w:hint="eastAsia" w:ascii="宋体" w:hAnsi="宋体" w:cs="宋体"/>
          <w:color w:val="auto"/>
          <w:sz w:val="24"/>
          <w:szCs w:val="24"/>
        </w:rPr>
        <w:t>防设施工程专业承包二级及以上资质（含二级）</w:t>
      </w:r>
      <w:r>
        <w:rPr>
          <w:rFonts w:hint="eastAsia" w:ascii="宋体" w:hAnsi="宋体" w:cs="宋体"/>
          <w:color w:val="auto"/>
          <w:sz w:val="24"/>
          <w:szCs w:val="24"/>
          <w:lang w:val="zh-CN"/>
        </w:rPr>
        <w:t>和《施工企业安全生产许可证》</w:t>
      </w:r>
      <w:r>
        <w:rPr>
          <w:rFonts w:hint="eastAsia" w:ascii="宋体" w:hAnsi="宋体" w:cs="宋体"/>
          <w:color w:val="auto"/>
          <w:sz w:val="24"/>
          <w:szCs w:val="24"/>
          <w:lang w:eastAsia="zh-CN"/>
        </w:rPr>
        <w:t>。</w:t>
      </w:r>
    </w:p>
    <w:p>
      <w:pPr>
        <w:spacing w:line="360" w:lineRule="auto"/>
        <w:ind w:firstLine="480" w:firstLineChars="200"/>
        <w:rPr>
          <w:rFonts w:ascii="宋体"/>
          <w:color w:val="auto"/>
          <w:sz w:val="24"/>
          <w:szCs w:val="24"/>
        </w:rPr>
      </w:pPr>
      <w:r>
        <w:rPr>
          <w:rFonts w:hint="eastAsia" w:ascii="宋体" w:hAnsi="宋体" w:cs="宋体"/>
          <w:color w:val="auto"/>
          <w:sz w:val="24"/>
          <w:szCs w:val="24"/>
          <w:lang w:val="en-US" w:eastAsia="zh-CN"/>
        </w:rPr>
        <w:t>3.3</w:t>
      </w:r>
      <w:r>
        <w:rPr>
          <w:rFonts w:hint="eastAsia" w:ascii="宋体" w:hAnsi="宋体" w:cs="宋体"/>
          <w:color w:val="auto"/>
          <w:sz w:val="24"/>
          <w:szCs w:val="24"/>
        </w:rPr>
        <w:t>询价供应商应遵守中国的有关法律、法规和规章的规定。</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4</w:t>
      </w:r>
      <w:r>
        <w:rPr>
          <w:rFonts w:hint="eastAsia" w:ascii="宋体" w:hAnsi="宋体" w:cs="宋体"/>
          <w:color w:val="auto"/>
          <w:sz w:val="24"/>
          <w:szCs w:val="24"/>
        </w:rPr>
        <w:t>询价供应商之间存在下列互为关联关系的情形之一的，不得同时参加本项目询价：</w:t>
      </w:r>
    </w:p>
    <w:p>
      <w:pPr>
        <w:spacing w:line="360" w:lineRule="auto"/>
        <w:ind w:firstLine="480" w:firstLineChars="200"/>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法定代表人为同一人的两个及两个以上法人；</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母公司、直接或间接持股</w:t>
      </w:r>
      <w:r>
        <w:rPr>
          <w:rFonts w:ascii="宋体" w:hAnsi="宋体" w:cs="宋体"/>
          <w:color w:val="auto"/>
          <w:sz w:val="24"/>
          <w:szCs w:val="24"/>
        </w:rPr>
        <w:t>50</w:t>
      </w:r>
      <w:r>
        <w:rPr>
          <w:rFonts w:hint="eastAsia" w:ascii="宋体" w:hAnsi="宋体" w:cs="宋体"/>
          <w:color w:val="auto"/>
          <w:sz w:val="24"/>
          <w:szCs w:val="24"/>
        </w:rPr>
        <w:t>％及以上的被投资公司</w:t>
      </w:r>
      <w:r>
        <w:rPr>
          <w:rFonts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均为同一家母公司直接或间接持股</w:t>
      </w:r>
      <w:r>
        <w:rPr>
          <w:rFonts w:ascii="宋体" w:hAnsi="宋体" w:cs="宋体"/>
          <w:color w:val="auto"/>
          <w:sz w:val="24"/>
          <w:szCs w:val="24"/>
        </w:rPr>
        <w:t>50</w:t>
      </w:r>
      <w:r>
        <w:rPr>
          <w:rFonts w:hint="eastAsia" w:ascii="宋体" w:hAnsi="宋体" w:cs="宋体"/>
          <w:color w:val="auto"/>
          <w:sz w:val="24"/>
          <w:szCs w:val="24"/>
        </w:rPr>
        <w:t>％及以上的被投资公司。</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询价供应商如具备上述情形之一的，互为关联关系的询价供应商的询价响应将均被视为无效响应。</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5</w:t>
      </w:r>
      <w:r>
        <w:rPr>
          <w:rFonts w:ascii="宋体" w:hAnsi="宋体" w:cs="宋体"/>
          <w:color w:val="auto"/>
          <w:sz w:val="24"/>
          <w:szCs w:val="24"/>
        </w:rPr>
        <w:t xml:space="preserve"> </w:t>
      </w:r>
      <w:r>
        <w:rPr>
          <w:rFonts w:hint="eastAsia" w:ascii="宋体" w:hAnsi="宋体" w:cs="宋体"/>
          <w:color w:val="auto"/>
          <w:sz w:val="24"/>
          <w:szCs w:val="24"/>
        </w:rPr>
        <w:t>询价供应商不得与本次询价项下设计、编制技术规格和其它文件的公司或提供咨询服务的公司包括其附属机构有任何关联。</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6</w:t>
      </w:r>
      <w:r>
        <w:rPr>
          <w:rFonts w:hint="eastAsia" w:ascii="宋体" w:hAnsi="宋体" w:cs="宋体"/>
          <w:color w:val="auto"/>
          <w:sz w:val="24"/>
          <w:szCs w:val="24"/>
        </w:rPr>
        <w:t>本项目不接受联合体询价。</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7</w:t>
      </w:r>
      <w:r>
        <w:rPr>
          <w:rFonts w:hint="eastAsia" w:ascii="宋体" w:hAnsi="宋体" w:cs="宋体"/>
          <w:color w:val="auto"/>
          <w:sz w:val="24"/>
          <w:szCs w:val="24"/>
        </w:rPr>
        <w:t>询价供应商代理人在本次询价中只能接受一个询价供应商的委托参加询价。</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8</w:t>
      </w:r>
      <w:r>
        <w:rPr>
          <w:rFonts w:hint="eastAsia" w:ascii="宋体" w:hAnsi="宋体" w:cs="宋体"/>
          <w:color w:val="auto"/>
          <w:sz w:val="24"/>
          <w:szCs w:val="24"/>
        </w:rPr>
        <w:t>询价供应商按本询价通知书规定缴纳询价保证金。</w:t>
      </w:r>
    </w:p>
    <w:p>
      <w:pPr>
        <w:spacing w:line="360" w:lineRule="auto"/>
        <w:ind w:firstLine="480" w:firstLineChars="200"/>
        <w:rPr>
          <w:rFonts w:ascii="宋体" w:hAnsi="宋体"/>
          <w:color w:val="auto"/>
          <w:sz w:val="24"/>
          <w:szCs w:val="18"/>
        </w:rPr>
      </w:pPr>
      <w:r>
        <w:rPr>
          <w:rFonts w:hint="eastAsia" w:ascii="宋体" w:hAnsi="宋体"/>
          <w:color w:val="auto"/>
          <w:sz w:val="24"/>
          <w:szCs w:val="18"/>
        </w:rPr>
        <w:t>3.</w:t>
      </w:r>
      <w:r>
        <w:rPr>
          <w:rFonts w:hint="eastAsia" w:ascii="宋体" w:hAnsi="宋体"/>
          <w:color w:val="auto"/>
          <w:sz w:val="24"/>
          <w:szCs w:val="18"/>
          <w:lang w:val="en-US" w:eastAsia="zh-CN"/>
        </w:rPr>
        <w:t>9</w:t>
      </w:r>
      <w:r>
        <w:rPr>
          <w:rFonts w:hint="eastAsia" w:ascii="宋体" w:hAnsi="宋体"/>
          <w:color w:val="auto"/>
          <w:sz w:val="24"/>
          <w:szCs w:val="18"/>
        </w:rPr>
        <w:t>询价供应商须提供通过“信用中国”网站（www.creditchina.gov.cn）信用信息查询无严重违法失信行为信息记录的打印件（或截图）。（网页打印件须从询价通知书发布之日起至询价截至时间期间从上述网站中打印）：</w:t>
      </w:r>
    </w:p>
    <w:p>
      <w:pPr>
        <w:spacing w:line="360" w:lineRule="auto"/>
        <w:ind w:firstLine="480" w:firstLineChars="200"/>
        <w:rPr>
          <w:rFonts w:ascii="宋体" w:hAnsi="宋体"/>
          <w:color w:val="auto"/>
          <w:sz w:val="24"/>
          <w:szCs w:val="18"/>
        </w:rPr>
      </w:pPr>
      <w:r>
        <w:rPr>
          <w:rFonts w:hint="eastAsia" w:ascii="宋体" w:hAnsi="宋体"/>
          <w:color w:val="auto"/>
          <w:sz w:val="24"/>
          <w:szCs w:val="18"/>
        </w:rPr>
        <w:t>3.</w:t>
      </w:r>
      <w:r>
        <w:rPr>
          <w:rFonts w:hint="eastAsia" w:ascii="宋体" w:hAnsi="宋体"/>
          <w:color w:val="auto"/>
          <w:sz w:val="24"/>
          <w:szCs w:val="18"/>
          <w:lang w:val="en-US" w:eastAsia="zh-CN"/>
        </w:rPr>
        <w:t>10</w:t>
      </w:r>
      <w:r>
        <w:rPr>
          <w:rFonts w:hint="eastAsia" w:ascii="宋体" w:hAnsi="宋体"/>
          <w:color w:val="auto"/>
          <w:sz w:val="24"/>
          <w:szCs w:val="18"/>
        </w:rPr>
        <w:t>询价供应商资格证明材料应当提供：</w:t>
      </w:r>
    </w:p>
    <w:p>
      <w:pPr>
        <w:spacing w:line="360" w:lineRule="auto"/>
        <w:ind w:firstLine="480" w:firstLineChars="200"/>
        <w:rPr>
          <w:rFonts w:ascii="宋体" w:hAnsi="宋体"/>
          <w:color w:val="auto"/>
          <w:sz w:val="24"/>
        </w:rPr>
      </w:pPr>
      <w:r>
        <w:rPr>
          <w:rFonts w:hint="eastAsia" w:ascii="宋体" w:hAnsi="宋体"/>
          <w:color w:val="auto"/>
          <w:sz w:val="24"/>
        </w:rPr>
        <w:t>（1）已缴纳询价保证金的证明材料复印件；</w:t>
      </w:r>
    </w:p>
    <w:p>
      <w:pPr>
        <w:spacing w:line="360" w:lineRule="auto"/>
        <w:ind w:firstLine="480" w:firstLineChars="200"/>
        <w:rPr>
          <w:rFonts w:ascii="宋体" w:hAnsi="宋体"/>
          <w:color w:val="auto"/>
          <w:sz w:val="24"/>
          <w:szCs w:val="18"/>
        </w:rPr>
      </w:pPr>
      <w:r>
        <w:rPr>
          <w:rFonts w:hint="eastAsia" w:ascii="宋体" w:hAnsi="宋体"/>
          <w:color w:val="auto"/>
          <w:sz w:val="24"/>
          <w:szCs w:val="18"/>
        </w:rPr>
        <w:t>（2）有效的法人营业执照复印件</w:t>
      </w:r>
      <w:r>
        <w:rPr>
          <w:rFonts w:hint="eastAsia" w:ascii="宋体" w:hAnsi="宋体" w:cs="宋体"/>
          <w:color w:val="auto"/>
          <w:sz w:val="24"/>
        </w:rPr>
        <w:t>或其他法人登记证书复印件</w:t>
      </w:r>
      <w:r>
        <w:rPr>
          <w:rFonts w:hint="eastAsia" w:ascii="宋体" w:hAnsi="宋体"/>
          <w:color w:val="auto"/>
          <w:sz w:val="24"/>
          <w:szCs w:val="18"/>
        </w:rPr>
        <w:t>；</w:t>
      </w:r>
    </w:p>
    <w:p>
      <w:pPr>
        <w:spacing w:line="360" w:lineRule="auto"/>
        <w:ind w:firstLine="480" w:firstLineChars="200"/>
        <w:rPr>
          <w:rFonts w:ascii="宋体" w:hAnsi="宋体"/>
          <w:color w:val="auto"/>
          <w:sz w:val="24"/>
          <w:szCs w:val="18"/>
        </w:rPr>
      </w:pPr>
      <w:r>
        <w:rPr>
          <w:rFonts w:hint="eastAsia" w:ascii="宋体" w:hAnsi="宋体"/>
          <w:color w:val="auto"/>
          <w:sz w:val="24"/>
          <w:szCs w:val="18"/>
        </w:rPr>
        <w:t>（3）法定代表人授权书（非法定代表人参加时提供）；</w:t>
      </w:r>
    </w:p>
    <w:p>
      <w:pPr>
        <w:spacing w:line="360" w:lineRule="auto"/>
        <w:ind w:firstLine="480" w:firstLineChars="200"/>
        <w:rPr>
          <w:rFonts w:ascii="宋体" w:hAnsi="宋体" w:cs="宋体"/>
          <w:color w:val="auto"/>
          <w:sz w:val="24"/>
        </w:rPr>
      </w:pPr>
      <w:r>
        <w:rPr>
          <w:rFonts w:hint="eastAsia" w:ascii="宋体" w:hAnsi="宋体"/>
          <w:color w:val="auto"/>
          <w:sz w:val="24"/>
          <w:szCs w:val="18"/>
          <w:lang w:val="en-US" w:eastAsia="zh-CN"/>
        </w:rPr>
        <w:t xml:space="preserve"> </w:t>
      </w:r>
      <w:r>
        <w:rPr>
          <w:rFonts w:hint="eastAsia" w:ascii="宋体" w:hAnsi="宋体"/>
          <w:color w:val="auto"/>
          <w:sz w:val="24"/>
          <w:szCs w:val="18"/>
        </w:rPr>
        <w:t>（</w:t>
      </w:r>
      <w:r>
        <w:rPr>
          <w:rFonts w:hint="eastAsia" w:ascii="宋体" w:hAnsi="宋体"/>
          <w:color w:val="auto"/>
          <w:sz w:val="24"/>
          <w:szCs w:val="18"/>
          <w:lang w:val="en-US" w:eastAsia="zh-CN"/>
        </w:rPr>
        <w:t>4</w:t>
      </w:r>
      <w:r>
        <w:rPr>
          <w:rFonts w:hint="eastAsia" w:ascii="宋体" w:hAnsi="宋体"/>
          <w:color w:val="auto"/>
          <w:sz w:val="24"/>
          <w:szCs w:val="18"/>
        </w:rPr>
        <w:t>）</w:t>
      </w:r>
      <w:r>
        <w:rPr>
          <w:rFonts w:hint="eastAsia" w:ascii="宋体" w:hAnsi="宋体" w:cs="宋体"/>
          <w:color w:val="auto"/>
          <w:sz w:val="24"/>
        </w:rPr>
        <w:t>供应商投标截止时间前通过“信用中国”网站（</w:t>
      </w:r>
      <w:r>
        <w:rPr>
          <w:rFonts w:ascii="宋体" w:hAnsi="宋体" w:cs="宋体"/>
          <w:color w:val="auto"/>
          <w:sz w:val="24"/>
        </w:rPr>
        <w:t>www.creditchina.gov.cn</w:t>
      </w:r>
      <w:r>
        <w:rPr>
          <w:rFonts w:hint="eastAsia" w:ascii="宋体" w:hAnsi="宋体" w:cs="宋体"/>
          <w:color w:val="auto"/>
          <w:sz w:val="24"/>
        </w:rPr>
        <w:t>）查询并打印相应的信用记录，供应商提供的查询结果应为其通过上述网站获取的信用信息查询结果原始页面的打印件（或截图）；</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ascii="宋体" w:cs="宋体"/>
          <w:color w:val="auto"/>
          <w:sz w:val="24"/>
          <w:szCs w:val="24"/>
        </w:rPr>
        <w:t>.</w:t>
      </w:r>
      <w:r>
        <w:rPr>
          <w:rFonts w:hint="eastAsia" w:ascii="宋体" w:hAnsi="宋体" w:cs="宋体"/>
          <w:color w:val="auto"/>
          <w:sz w:val="24"/>
          <w:szCs w:val="24"/>
        </w:rPr>
        <w:t>询价费用</w:t>
      </w:r>
    </w:p>
    <w:p>
      <w:pPr>
        <w:spacing w:line="360" w:lineRule="auto"/>
        <w:ind w:firstLine="480" w:firstLineChars="200"/>
        <w:rPr>
          <w:rFonts w:ascii="宋体"/>
          <w:color w:val="auto"/>
          <w:sz w:val="24"/>
          <w:szCs w:val="24"/>
        </w:rPr>
      </w:pPr>
      <w:r>
        <w:rPr>
          <w:rFonts w:ascii="宋体" w:hAnsi="宋体" w:cs="宋体"/>
          <w:color w:val="auto"/>
          <w:sz w:val="24"/>
          <w:szCs w:val="24"/>
        </w:rPr>
        <w:t>4.1</w:t>
      </w:r>
      <w:r>
        <w:rPr>
          <w:rFonts w:hint="eastAsia" w:ascii="宋体" w:hAnsi="宋体" w:cs="宋体"/>
          <w:color w:val="auto"/>
          <w:sz w:val="24"/>
          <w:szCs w:val="24"/>
        </w:rPr>
        <w:t>不论成交与否，询价供应商应承担所有与准备和参加与询价有关的全部费用，采购人和采购代理机构在任何情况下均无义务和责任承担此类费用。</w:t>
      </w:r>
    </w:p>
    <w:p>
      <w:pPr>
        <w:spacing w:line="360" w:lineRule="auto"/>
        <w:ind w:firstLine="480" w:firstLineChars="200"/>
        <w:rPr>
          <w:rFonts w:ascii="宋体"/>
          <w:color w:val="auto"/>
          <w:sz w:val="24"/>
          <w:szCs w:val="24"/>
        </w:rPr>
      </w:pPr>
    </w:p>
    <w:p>
      <w:pPr>
        <w:pStyle w:val="2"/>
        <w:numPr>
          <w:ilvl w:val="1"/>
          <w:numId w:val="0"/>
        </w:numPr>
        <w:rPr>
          <w:rFonts w:cs="Times New Roman"/>
          <w:color w:val="auto"/>
        </w:rPr>
      </w:pPr>
      <w:bookmarkStart w:id="22" w:name="_Toc8421"/>
      <w:bookmarkStart w:id="23" w:name="_Toc2488"/>
      <w:bookmarkStart w:id="24" w:name="_Toc5916"/>
      <w:r>
        <w:rPr>
          <w:rFonts w:hint="eastAsia" w:cs="宋体"/>
          <w:color w:val="auto"/>
        </w:rPr>
        <w:t>二、询价通知书</w:t>
      </w:r>
      <w:bookmarkEnd w:id="22"/>
      <w:bookmarkEnd w:id="23"/>
      <w:bookmarkEnd w:id="24"/>
    </w:p>
    <w:p>
      <w:pPr>
        <w:spacing w:line="360" w:lineRule="auto"/>
        <w:ind w:firstLine="480" w:firstLineChars="200"/>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询价通知书的组成</w:t>
      </w:r>
    </w:p>
    <w:p>
      <w:pPr>
        <w:pStyle w:val="5"/>
        <w:snapToGrid w:val="0"/>
        <w:spacing w:line="360" w:lineRule="auto"/>
        <w:ind w:firstLine="480" w:firstLineChars="200"/>
        <w:rPr>
          <w:rFonts w:ascii="宋体"/>
          <w:color w:val="auto"/>
          <w:sz w:val="24"/>
          <w:szCs w:val="24"/>
        </w:rPr>
      </w:pPr>
      <w:r>
        <w:rPr>
          <w:rFonts w:ascii="宋体" w:hAnsi="宋体" w:cs="宋体"/>
          <w:color w:val="auto"/>
          <w:sz w:val="24"/>
          <w:szCs w:val="24"/>
        </w:rPr>
        <w:t>5.1</w:t>
      </w:r>
      <w:r>
        <w:rPr>
          <w:rFonts w:hint="eastAsia" w:ascii="宋体" w:hAnsi="宋体" w:cs="宋体"/>
          <w:color w:val="auto"/>
          <w:sz w:val="24"/>
          <w:szCs w:val="24"/>
        </w:rPr>
        <w:t>询价通知书用以阐明所需货物及服务询价程序和合同主要条款。询价通知书由下述部分组成：</w:t>
      </w:r>
    </w:p>
    <w:p>
      <w:pPr>
        <w:pStyle w:val="5"/>
        <w:snapToGrid w:val="0"/>
        <w:spacing w:line="360" w:lineRule="auto"/>
        <w:ind w:firstLine="480" w:firstLineChars="200"/>
        <w:rPr>
          <w:rFonts w:ascii="宋体"/>
          <w:color w:val="auto"/>
          <w:sz w:val="24"/>
          <w:szCs w:val="24"/>
        </w:rPr>
      </w:pPr>
      <w:r>
        <w:rPr>
          <w:rFonts w:hint="eastAsia" w:ascii="宋体" w:hAnsi="宋体" w:cs="宋体"/>
          <w:color w:val="auto"/>
          <w:sz w:val="24"/>
          <w:szCs w:val="24"/>
        </w:rPr>
        <w:t>⑴询价邀请</w:t>
      </w:r>
    </w:p>
    <w:p>
      <w:pPr>
        <w:pStyle w:val="5"/>
        <w:snapToGrid w:val="0"/>
        <w:spacing w:line="360" w:lineRule="auto"/>
        <w:ind w:firstLine="480" w:firstLineChars="200"/>
        <w:rPr>
          <w:rFonts w:ascii="宋体"/>
          <w:color w:val="auto"/>
          <w:sz w:val="24"/>
          <w:szCs w:val="24"/>
        </w:rPr>
      </w:pPr>
      <w:r>
        <w:rPr>
          <w:rFonts w:hint="eastAsia" w:ascii="宋体" w:hAnsi="宋体" w:cs="宋体"/>
          <w:color w:val="auto"/>
          <w:sz w:val="24"/>
          <w:szCs w:val="24"/>
        </w:rPr>
        <w:t>⑵询价供应商须知</w:t>
      </w:r>
    </w:p>
    <w:p>
      <w:pPr>
        <w:pStyle w:val="5"/>
        <w:snapToGrid w:val="0"/>
        <w:spacing w:line="360" w:lineRule="auto"/>
        <w:ind w:firstLine="480" w:firstLineChars="200"/>
        <w:rPr>
          <w:rFonts w:ascii="宋体"/>
          <w:color w:val="auto"/>
          <w:sz w:val="24"/>
          <w:szCs w:val="24"/>
        </w:rPr>
      </w:pPr>
      <w:r>
        <w:rPr>
          <w:rFonts w:hint="eastAsia" w:ascii="宋体" w:hAnsi="宋体" w:cs="宋体"/>
          <w:color w:val="auto"/>
          <w:sz w:val="24"/>
          <w:szCs w:val="24"/>
        </w:rPr>
        <w:t>⑶询价内容及要求</w:t>
      </w:r>
    </w:p>
    <w:p>
      <w:pPr>
        <w:pStyle w:val="5"/>
        <w:snapToGrid w:val="0"/>
        <w:spacing w:line="360" w:lineRule="auto"/>
        <w:ind w:firstLine="480" w:firstLineChars="200"/>
        <w:rPr>
          <w:rFonts w:ascii="宋体"/>
          <w:color w:val="auto"/>
          <w:sz w:val="24"/>
          <w:szCs w:val="24"/>
        </w:rPr>
      </w:pPr>
      <w:r>
        <w:rPr>
          <w:rFonts w:hint="eastAsia" w:ascii="宋体" w:hAnsi="宋体" w:cs="宋体"/>
          <w:color w:val="auto"/>
          <w:sz w:val="24"/>
          <w:szCs w:val="24"/>
        </w:rPr>
        <w:t>⑷合同主要条款</w:t>
      </w:r>
    </w:p>
    <w:p>
      <w:pPr>
        <w:pStyle w:val="5"/>
        <w:snapToGrid w:val="0"/>
        <w:spacing w:line="360" w:lineRule="auto"/>
        <w:ind w:firstLine="480" w:firstLineChars="200"/>
        <w:rPr>
          <w:rFonts w:ascii="宋体"/>
          <w:color w:val="auto"/>
          <w:sz w:val="24"/>
          <w:szCs w:val="24"/>
        </w:rPr>
      </w:pPr>
      <w:r>
        <w:rPr>
          <w:rFonts w:hint="eastAsia" w:ascii="宋体" w:hAnsi="宋体" w:cs="宋体"/>
          <w:color w:val="auto"/>
          <w:sz w:val="24"/>
          <w:szCs w:val="24"/>
        </w:rPr>
        <w:t>⑸询价响应文件格式</w:t>
      </w:r>
    </w:p>
    <w:p>
      <w:pPr>
        <w:spacing w:line="360" w:lineRule="auto"/>
        <w:ind w:firstLine="480" w:firstLineChars="200"/>
        <w:rPr>
          <w:rFonts w:ascii="宋体"/>
          <w:color w:val="auto"/>
          <w:sz w:val="24"/>
          <w:szCs w:val="24"/>
        </w:rPr>
      </w:pPr>
      <w:bookmarkStart w:id="25" w:name="_Toc430422413"/>
      <w:bookmarkStart w:id="26" w:name="_Toc430488851"/>
      <w:bookmarkStart w:id="27" w:name="_Toc415567497"/>
      <w:bookmarkStart w:id="28" w:name="_Toc430489119"/>
      <w:bookmarkStart w:id="29" w:name="_Toc430490612"/>
      <w:bookmarkStart w:id="30" w:name="_Toc430492126"/>
      <w:bookmarkStart w:id="31" w:name="_Toc430488644"/>
      <w:r>
        <w:rPr>
          <w:rFonts w:ascii="宋体" w:hAnsi="宋体" w:cs="宋体"/>
          <w:color w:val="auto"/>
          <w:sz w:val="24"/>
          <w:szCs w:val="24"/>
        </w:rPr>
        <w:t>6.</w:t>
      </w:r>
      <w:bookmarkEnd w:id="25"/>
      <w:bookmarkEnd w:id="26"/>
      <w:bookmarkEnd w:id="27"/>
      <w:bookmarkEnd w:id="28"/>
      <w:bookmarkEnd w:id="29"/>
      <w:bookmarkEnd w:id="30"/>
      <w:bookmarkEnd w:id="31"/>
      <w:r>
        <w:rPr>
          <w:rFonts w:hint="eastAsia" w:ascii="宋体" w:hAnsi="宋体" w:cs="宋体"/>
          <w:color w:val="auto"/>
          <w:sz w:val="24"/>
          <w:szCs w:val="24"/>
        </w:rPr>
        <w:t>询价通知书的澄清</w:t>
      </w:r>
    </w:p>
    <w:p>
      <w:pPr>
        <w:spacing w:line="360" w:lineRule="auto"/>
        <w:ind w:left="84" w:leftChars="40" w:firstLine="480" w:firstLineChars="200"/>
        <w:rPr>
          <w:rFonts w:ascii="宋体"/>
          <w:color w:val="auto"/>
          <w:sz w:val="24"/>
          <w:szCs w:val="24"/>
        </w:rPr>
      </w:pPr>
      <w:bookmarkStart w:id="32" w:name="_Toc17516"/>
      <w:r>
        <w:rPr>
          <w:rFonts w:ascii="宋体" w:hAnsi="宋体" w:cs="宋体"/>
          <w:color w:val="auto"/>
          <w:sz w:val="24"/>
          <w:szCs w:val="24"/>
        </w:rPr>
        <w:t>6.1</w:t>
      </w:r>
      <w:r>
        <w:rPr>
          <w:rFonts w:hint="eastAsia" w:ascii="宋体" w:hAnsi="宋体" w:cs="宋体"/>
          <w:color w:val="auto"/>
          <w:sz w:val="24"/>
          <w:szCs w:val="24"/>
        </w:rPr>
        <w:t>询价供应商对询价通知书如有疑点，可要求澄清，但应在递交询价响应文件截止时间</w:t>
      </w:r>
      <w:r>
        <w:rPr>
          <w:rFonts w:ascii="宋体" w:hAnsi="宋体" w:cs="宋体"/>
          <w:color w:val="auto"/>
          <w:sz w:val="24"/>
          <w:szCs w:val="24"/>
        </w:rPr>
        <w:t>2</w:t>
      </w:r>
      <w:r>
        <w:rPr>
          <w:rFonts w:hint="eastAsia" w:ascii="宋体" w:hAnsi="宋体" w:cs="宋体"/>
          <w:color w:val="auto"/>
          <w:sz w:val="24"/>
          <w:szCs w:val="24"/>
        </w:rPr>
        <w:t>个工作日前按询价邀请中载明的地址以书面形式（包括书面、信函原件的形式，下同）送达采购人和采购代理机构。采购人和采购代理机构将视情况确定采用适当方式予以澄清或以书面形式予以答复，必要时将不标明查询来源的书面答复，分送已购买询价通知书的每一潜在供应商。</w:t>
      </w:r>
      <w:bookmarkEnd w:id="32"/>
    </w:p>
    <w:p>
      <w:pPr>
        <w:spacing w:line="360" w:lineRule="auto"/>
        <w:ind w:left="84" w:leftChars="40" w:firstLine="480" w:firstLineChars="200"/>
        <w:rPr>
          <w:rFonts w:ascii="宋体"/>
          <w:color w:val="auto"/>
          <w:sz w:val="24"/>
          <w:szCs w:val="24"/>
        </w:rPr>
      </w:pPr>
      <w:r>
        <w:rPr>
          <w:rFonts w:ascii="宋体" w:hAnsi="宋体" w:cs="宋体"/>
          <w:color w:val="auto"/>
          <w:sz w:val="24"/>
          <w:szCs w:val="24"/>
        </w:rPr>
        <w:t xml:space="preserve">6.2 </w:t>
      </w:r>
      <w:r>
        <w:rPr>
          <w:rFonts w:hint="eastAsia" w:ascii="宋体" w:hAnsi="宋体" w:cs="宋体"/>
          <w:color w:val="auto"/>
          <w:sz w:val="24"/>
          <w:szCs w:val="24"/>
        </w:rPr>
        <w:t>供应商所提供的联系电话应使采购人和采购代理机构能方便地与供应商取得联系，若由于该方面的原因使采购人和采购代理机构发出的函件无法送达供应商时，由此造成的后果由供应商自行负责。</w:t>
      </w:r>
    </w:p>
    <w:p>
      <w:pPr>
        <w:spacing w:line="360" w:lineRule="auto"/>
        <w:ind w:left="84" w:leftChars="40" w:firstLine="480" w:firstLineChars="200"/>
        <w:rPr>
          <w:rFonts w:ascii="宋体"/>
          <w:color w:val="auto"/>
          <w:sz w:val="24"/>
          <w:szCs w:val="24"/>
        </w:rPr>
      </w:pPr>
      <w:r>
        <w:rPr>
          <w:rFonts w:ascii="宋体" w:hAnsi="宋体" w:cs="宋体"/>
          <w:color w:val="auto"/>
          <w:sz w:val="24"/>
          <w:szCs w:val="24"/>
        </w:rPr>
        <w:t xml:space="preserve">6.3 </w:t>
      </w:r>
      <w:r>
        <w:rPr>
          <w:rFonts w:hint="eastAsia" w:ascii="宋体" w:hAnsi="宋体" w:cs="宋体"/>
          <w:color w:val="auto"/>
          <w:sz w:val="24"/>
          <w:szCs w:val="24"/>
        </w:rPr>
        <w:t>采购人和采购代理机构将视情况确定是否有必要在询价采购会前召开答疑会。如果召开答疑会，将通知所有已登记备案并领取了询价通知书的潜在询价供应商。</w:t>
      </w:r>
    </w:p>
    <w:p>
      <w:pPr>
        <w:spacing w:line="360" w:lineRule="auto"/>
        <w:ind w:left="84" w:leftChars="40"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、询价通知书的补充、修改</w:t>
      </w:r>
    </w:p>
    <w:p>
      <w:pPr>
        <w:wordWrap w:val="0"/>
        <w:spacing w:line="360" w:lineRule="auto"/>
        <w:ind w:left="84" w:leftChars="40" w:firstLine="480" w:firstLineChars="200"/>
        <w:rPr>
          <w:rFonts w:ascii="宋体"/>
          <w:color w:val="auto"/>
          <w:sz w:val="24"/>
          <w:szCs w:val="24"/>
        </w:rPr>
      </w:pPr>
      <w:r>
        <w:rPr>
          <w:rFonts w:ascii="宋体" w:hAnsi="宋体" w:cs="宋体"/>
          <w:color w:val="auto"/>
          <w:sz w:val="24"/>
          <w:szCs w:val="24"/>
        </w:rPr>
        <w:t>7.1</w:t>
      </w:r>
      <w:r>
        <w:rPr>
          <w:rFonts w:hint="eastAsia" w:ascii="宋体" w:hAnsi="宋体" w:cs="宋体"/>
          <w:color w:val="auto"/>
          <w:sz w:val="24"/>
          <w:szCs w:val="24"/>
        </w:rPr>
        <w:t>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w:t>
      </w:r>
      <w:r>
        <w:rPr>
          <w:rFonts w:ascii="宋体" w:hAnsi="宋体" w:cs="宋体"/>
          <w:color w:val="auto"/>
          <w:sz w:val="24"/>
          <w:szCs w:val="24"/>
        </w:rPr>
        <w:t>3</w:t>
      </w:r>
      <w:r>
        <w:rPr>
          <w:rFonts w:hint="eastAsia" w:ascii="宋体" w:hAnsi="宋体" w:cs="宋体"/>
          <w:color w:val="auto"/>
          <w:sz w:val="24"/>
          <w:szCs w:val="24"/>
        </w:rPr>
        <w:t>个工作日前，以在</w:t>
      </w:r>
      <w:r>
        <w:rPr>
          <w:rFonts w:hint="eastAsia" w:ascii="宋体" w:hAnsi="宋体"/>
          <w:b/>
          <w:color w:val="auto"/>
          <w:sz w:val="24"/>
          <w:u w:val="single"/>
        </w:rPr>
        <w:t>卓知项目管理顾问有限公司龙岩分公司网站（www.zzeccly.com）、</w:t>
      </w:r>
      <w:r>
        <w:rPr>
          <w:rFonts w:hint="eastAsia" w:ascii="宋体" w:hAnsi="宋体"/>
          <w:b/>
          <w:color w:val="auto"/>
          <w:sz w:val="24"/>
          <w:u w:val="single"/>
          <w:lang w:eastAsia="zh-CN"/>
        </w:rPr>
        <w:t>中国政府采购网（www.ccgp.gov.cn）</w:t>
      </w:r>
      <w:r>
        <w:rPr>
          <w:rFonts w:hint="eastAsia" w:ascii="宋体" w:hAnsi="宋体" w:cs="宋体"/>
          <w:color w:val="auto"/>
          <w:sz w:val="24"/>
          <w:szCs w:val="24"/>
        </w:rPr>
        <w:t>发布通知的形式通知所有潜在询价供应商，不足</w:t>
      </w:r>
      <w:r>
        <w:rPr>
          <w:rFonts w:ascii="宋体" w:hAnsi="宋体" w:cs="宋体"/>
          <w:color w:val="auto"/>
          <w:sz w:val="24"/>
          <w:szCs w:val="24"/>
        </w:rPr>
        <w:t>3</w:t>
      </w:r>
      <w:r>
        <w:rPr>
          <w:rFonts w:hint="eastAsia" w:ascii="宋体" w:hAnsi="宋体" w:cs="宋体"/>
          <w:color w:val="auto"/>
          <w:sz w:val="24"/>
          <w:szCs w:val="24"/>
        </w:rPr>
        <w:t>个工作日的，应当顺延提交响应文件截止之日。</w:t>
      </w:r>
    </w:p>
    <w:p>
      <w:pPr>
        <w:spacing w:line="360" w:lineRule="auto"/>
        <w:ind w:left="84" w:leftChars="40" w:firstLine="480" w:firstLineChars="200"/>
        <w:rPr>
          <w:rFonts w:ascii="宋体"/>
          <w:color w:val="auto"/>
          <w:sz w:val="24"/>
          <w:szCs w:val="24"/>
        </w:rPr>
      </w:pPr>
      <w:r>
        <w:rPr>
          <w:rFonts w:ascii="宋体" w:hAnsi="宋体" w:cs="宋体"/>
          <w:color w:val="auto"/>
          <w:sz w:val="24"/>
          <w:szCs w:val="24"/>
        </w:rPr>
        <w:t>7.2</w:t>
      </w:r>
      <w:r>
        <w:rPr>
          <w:rFonts w:hint="eastAsia" w:ascii="宋体" w:hAnsi="宋体" w:cs="宋体"/>
          <w:color w:val="auto"/>
          <w:sz w:val="24"/>
          <w:szCs w:val="24"/>
        </w:rPr>
        <w:t>询价通知书的修改书将构成询价通知书的一部分，对询价供应商同样具有约束力。</w:t>
      </w:r>
    </w:p>
    <w:p>
      <w:pPr>
        <w:spacing w:line="360" w:lineRule="auto"/>
        <w:ind w:left="84" w:leftChars="40" w:firstLine="480" w:firstLineChars="200"/>
        <w:rPr>
          <w:rFonts w:ascii="宋体"/>
          <w:color w:val="auto"/>
          <w:sz w:val="24"/>
          <w:szCs w:val="24"/>
        </w:rPr>
      </w:pPr>
      <w:r>
        <w:rPr>
          <w:rFonts w:ascii="宋体" w:hAnsi="宋体" w:cs="宋体"/>
          <w:color w:val="auto"/>
          <w:sz w:val="24"/>
          <w:szCs w:val="24"/>
        </w:rPr>
        <w:t>7.3</w:t>
      </w:r>
      <w:r>
        <w:rPr>
          <w:rFonts w:hint="eastAsia" w:ascii="宋体" w:hAnsi="宋体" w:cs="宋体"/>
          <w:color w:val="auto"/>
          <w:sz w:val="24"/>
          <w:szCs w:val="24"/>
        </w:rPr>
        <w:t>询价通知书、询价通知书澄清（答疑）纪要、询价通知书修改补充通知书内容均以书面明确的内容为准。当询价通知书、修改补充通知、澄清（答疑）纪要内容相互矛盾时，以最后发出的通知（或纪要）或修改文件为准。</w:t>
      </w:r>
    </w:p>
    <w:p>
      <w:pPr>
        <w:spacing w:line="360" w:lineRule="auto"/>
        <w:ind w:left="84" w:leftChars="40" w:firstLine="480" w:firstLineChars="200"/>
        <w:rPr>
          <w:rFonts w:ascii="宋体"/>
          <w:color w:val="auto"/>
          <w:sz w:val="24"/>
          <w:szCs w:val="24"/>
        </w:rPr>
      </w:pPr>
      <w:r>
        <w:rPr>
          <w:rFonts w:ascii="宋体" w:hAnsi="宋体" w:cs="宋体"/>
          <w:color w:val="auto"/>
          <w:sz w:val="24"/>
          <w:szCs w:val="24"/>
        </w:rPr>
        <w:t>7.4</w:t>
      </w:r>
      <w:r>
        <w:rPr>
          <w:rFonts w:hint="eastAsia" w:ascii="宋体" w:hAnsi="宋体" w:cs="宋体"/>
          <w:color w:val="auto"/>
          <w:sz w:val="24"/>
          <w:szCs w:val="24"/>
        </w:rPr>
        <w:t>采购人和采购代理机构对询价供应商误读、误解补充修改文件而导致的不良后果，不负任何责任。</w:t>
      </w:r>
    </w:p>
    <w:p>
      <w:pPr>
        <w:spacing w:line="360" w:lineRule="auto"/>
        <w:ind w:left="84" w:leftChars="40" w:firstLine="480" w:firstLineChars="200"/>
        <w:rPr>
          <w:rFonts w:ascii="宋体"/>
          <w:color w:val="auto"/>
          <w:sz w:val="24"/>
          <w:szCs w:val="24"/>
        </w:rPr>
      </w:pPr>
      <w:r>
        <w:rPr>
          <w:rFonts w:ascii="宋体" w:hAnsi="宋体" w:cs="宋体"/>
          <w:color w:val="auto"/>
          <w:sz w:val="24"/>
          <w:szCs w:val="24"/>
        </w:rPr>
        <w:t>7.5</w:t>
      </w:r>
      <w:r>
        <w:rPr>
          <w:rFonts w:hint="eastAsia" w:ascii="宋体" w:hAnsi="宋体" w:cs="宋体"/>
          <w:color w:val="auto"/>
          <w:sz w:val="24"/>
          <w:szCs w:val="24"/>
        </w:rPr>
        <w:t>与本次询价采购有关的一切正式往来，如质疑、投诉、技术咨询等，应采用书面形式。</w:t>
      </w:r>
    </w:p>
    <w:p>
      <w:pPr>
        <w:wordWrap w:val="0"/>
        <w:spacing w:before="120" w:line="360" w:lineRule="auto"/>
        <w:ind w:firstLine="482" w:firstLineChars="200"/>
        <w:rPr>
          <w:rFonts w:ascii="宋体"/>
          <w:b/>
          <w:bCs/>
          <w:color w:val="auto"/>
          <w:sz w:val="24"/>
          <w:szCs w:val="24"/>
        </w:rPr>
      </w:pPr>
      <w:r>
        <w:rPr>
          <w:rFonts w:hint="eastAsia" w:ascii="宋体" w:hAnsi="宋体" w:cs="宋体"/>
          <w:b/>
          <w:bCs/>
          <w:color w:val="auto"/>
          <w:sz w:val="24"/>
          <w:szCs w:val="24"/>
        </w:rPr>
        <w:t>特别提示：询价通知书如有澄清、修改，公告将在</w:t>
      </w:r>
      <w:r>
        <w:rPr>
          <w:rFonts w:hint="eastAsia" w:ascii="宋体" w:hAnsi="宋体"/>
          <w:b/>
          <w:color w:val="auto"/>
          <w:sz w:val="24"/>
          <w:u w:val="single"/>
        </w:rPr>
        <w:t>卓知项目管理顾问有限公司龙岩分公司网站（www.zzeccly.com）、</w:t>
      </w:r>
      <w:r>
        <w:rPr>
          <w:rFonts w:hint="eastAsia" w:ascii="宋体" w:hAnsi="宋体"/>
          <w:b/>
          <w:color w:val="auto"/>
          <w:sz w:val="24"/>
          <w:u w:val="single"/>
          <w:lang w:eastAsia="zh-CN"/>
        </w:rPr>
        <w:t>中国政府采购网（www.ccgp.gov.cn）</w:t>
      </w:r>
      <w:r>
        <w:rPr>
          <w:rFonts w:hint="eastAsia" w:ascii="宋体" w:hAnsi="宋体" w:cs="宋体"/>
          <w:b/>
          <w:bCs/>
          <w:color w:val="auto"/>
          <w:sz w:val="24"/>
          <w:szCs w:val="24"/>
        </w:rPr>
        <w:t>上发布，请潜在询价供应商随时密切关注上述网站并下载相关信息，招标代理机构不再另行通知（相同条款如有多次修改，以最后一次修改为准）。潜在询价供应商未下载澄清、修改内容的，后果自行承担。</w:t>
      </w:r>
    </w:p>
    <w:p>
      <w:pPr>
        <w:spacing w:line="360" w:lineRule="auto"/>
        <w:rPr>
          <w:rFonts w:ascii="宋体"/>
          <w:color w:val="auto"/>
          <w:sz w:val="24"/>
          <w:szCs w:val="24"/>
        </w:rPr>
      </w:pPr>
    </w:p>
    <w:p>
      <w:pPr>
        <w:pStyle w:val="2"/>
        <w:numPr>
          <w:ilvl w:val="1"/>
          <w:numId w:val="0"/>
        </w:numPr>
        <w:rPr>
          <w:rFonts w:cs="宋体"/>
          <w:color w:val="auto"/>
        </w:rPr>
      </w:pPr>
      <w:bookmarkStart w:id="33" w:name="_Toc17535"/>
      <w:bookmarkStart w:id="34" w:name="_Toc11191"/>
      <w:r>
        <w:rPr>
          <w:rFonts w:hint="eastAsia" w:cs="宋体"/>
          <w:color w:val="auto"/>
        </w:rPr>
        <w:br w:type="page"/>
      </w:r>
    </w:p>
    <w:p>
      <w:pPr>
        <w:pStyle w:val="2"/>
        <w:numPr>
          <w:ilvl w:val="1"/>
          <w:numId w:val="0"/>
        </w:numPr>
        <w:rPr>
          <w:rFonts w:cs="Times New Roman"/>
          <w:color w:val="auto"/>
        </w:rPr>
      </w:pPr>
      <w:r>
        <w:rPr>
          <w:rFonts w:hint="eastAsia" w:cs="宋体"/>
          <w:color w:val="auto"/>
        </w:rPr>
        <w:t>三、询价响应文件的编写</w:t>
      </w:r>
      <w:bookmarkEnd w:id="33"/>
      <w:bookmarkEnd w:id="34"/>
    </w:p>
    <w:p>
      <w:pPr>
        <w:spacing w:line="360" w:lineRule="auto"/>
        <w:ind w:firstLine="480" w:firstLineChars="200"/>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要求</w:t>
      </w:r>
    </w:p>
    <w:p>
      <w:pPr>
        <w:spacing w:line="360" w:lineRule="auto"/>
        <w:ind w:firstLine="480" w:firstLineChars="200"/>
        <w:rPr>
          <w:rFonts w:ascii="宋体"/>
          <w:color w:val="auto"/>
          <w:sz w:val="24"/>
          <w:szCs w:val="24"/>
        </w:rPr>
      </w:pPr>
      <w:r>
        <w:rPr>
          <w:rFonts w:ascii="宋体" w:hAnsi="宋体" w:cs="宋体"/>
          <w:color w:val="auto"/>
          <w:sz w:val="24"/>
          <w:szCs w:val="24"/>
        </w:rPr>
        <w:t>8.1</w:t>
      </w:r>
      <w:r>
        <w:rPr>
          <w:rFonts w:hint="eastAsia" w:ascii="宋体" w:hAnsi="宋体" w:cs="宋体"/>
          <w:color w:val="auto"/>
          <w:sz w:val="24"/>
          <w:szCs w:val="24"/>
        </w:rPr>
        <w:t>询价供应商应仔细阅读询价通知书的所有内容，按照询价通知书的要求提交询价响应文件。询价响应文件应对询价通知书的要求作出实质性响应，并保证所提供的全部资料的真实性，否则其询价将被拒绝。</w:t>
      </w:r>
    </w:p>
    <w:p>
      <w:pPr>
        <w:tabs>
          <w:tab w:val="left" w:pos="900"/>
        </w:tabs>
        <w:spacing w:after="120" w:line="360" w:lineRule="auto"/>
        <w:ind w:firstLine="480" w:firstLineChars="200"/>
        <w:rPr>
          <w:rFonts w:ascii="宋体"/>
          <w:color w:val="auto"/>
          <w:sz w:val="24"/>
          <w:szCs w:val="24"/>
        </w:rPr>
      </w:pPr>
      <w:r>
        <w:rPr>
          <w:rFonts w:ascii="宋体" w:hAnsi="宋体" w:cs="宋体"/>
          <w:color w:val="auto"/>
          <w:sz w:val="24"/>
          <w:szCs w:val="24"/>
        </w:rPr>
        <w:t xml:space="preserve">8.2 </w:t>
      </w:r>
      <w:r>
        <w:rPr>
          <w:rFonts w:hint="eastAsia" w:ascii="宋体" w:hAnsi="宋体" w:cs="宋体"/>
          <w:color w:val="auto"/>
          <w:sz w:val="24"/>
          <w:szCs w:val="24"/>
        </w:rPr>
        <w:t>除非有另外的规定，询价供应商可对询价货物一览表所列的全部合同包或部分合同包进行投报。招标代理机构不接受有任何可选择性的报价，每一种货物只能有一个报价。</w:t>
      </w:r>
    </w:p>
    <w:p>
      <w:pPr>
        <w:spacing w:line="360" w:lineRule="auto"/>
        <w:ind w:firstLine="480" w:firstLineChars="200"/>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询价响应文件语言</w:t>
      </w:r>
    </w:p>
    <w:p>
      <w:pPr>
        <w:spacing w:line="360" w:lineRule="auto"/>
        <w:ind w:firstLine="480" w:firstLineChars="200"/>
        <w:rPr>
          <w:rFonts w:ascii="宋体"/>
          <w:color w:val="auto"/>
          <w:sz w:val="24"/>
          <w:szCs w:val="24"/>
        </w:rPr>
      </w:pPr>
      <w:r>
        <w:rPr>
          <w:rFonts w:ascii="宋体" w:hAnsi="宋体" w:cs="宋体"/>
          <w:color w:val="auto"/>
          <w:sz w:val="24"/>
          <w:szCs w:val="24"/>
        </w:rPr>
        <w:t>9.1</w:t>
      </w:r>
      <w:r>
        <w:rPr>
          <w:rFonts w:hint="eastAsia" w:ascii="宋体" w:hAnsi="宋体" w:cs="宋体"/>
          <w:color w:val="auto"/>
          <w:sz w:val="24"/>
          <w:szCs w:val="24"/>
        </w:rPr>
        <w:t>询价响应文件应用中文书写。各种计量单位及符号应采用国际上统一使用的公制计量单位和符号。</w:t>
      </w:r>
    </w:p>
    <w:p>
      <w:pPr>
        <w:spacing w:line="360" w:lineRule="auto"/>
        <w:ind w:firstLine="480" w:firstLineChars="200"/>
        <w:rPr>
          <w:rFonts w:ascii="宋体" w:hAnsi="宋体"/>
          <w:color w:val="auto"/>
          <w:sz w:val="24"/>
        </w:rPr>
      </w:pPr>
      <w:r>
        <w:rPr>
          <w:rFonts w:hint="eastAsia" w:ascii="宋体" w:hAnsi="宋体"/>
          <w:color w:val="auto"/>
          <w:sz w:val="24"/>
        </w:rPr>
        <w:t>9.2</w:t>
      </w:r>
      <w:r>
        <w:rPr>
          <w:rFonts w:hint="eastAsia"/>
          <w:color w:val="auto"/>
          <w:sz w:val="24"/>
        </w:rPr>
        <w:t>采购文件中载明的资格或技术商务要求中涉及的询价供应商提供的证明文件原件属于非中文描述的，必须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询价供应商询价时应提供中文译本、翻译机构及翻译人员资格证书复印件，并加盖询价供应商公章。</w:t>
      </w:r>
    </w:p>
    <w:p>
      <w:pPr>
        <w:spacing w:line="360" w:lineRule="auto"/>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t xml:space="preserve">. </w:t>
      </w:r>
      <w:r>
        <w:rPr>
          <w:rFonts w:hint="eastAsia" w:ascii="宋体" w:hAnsi="宋体"/>
          <w:color w:val="auto"/>
          <w:sz w:val="24"/>
        </w:rPr>
        <w:t>询价响应文件的组成</w:t>
      </w:r>
    </w:p>
    <w:p>
      <w:pPr>
        <w:spacing w:line="360" w:lineRule="auto"/>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t>.</w:t>
      </w:r>
      <w:r>
        <w:rPr>
          <w:rFonts w:hint="eastAsia" w:ascii="宋体" w:hAnsi="宋体"/>
          <w:color w:val="auto"/>
          <w:sz w:val="24"/>
        </w:rPr>
        <w:t>1询价响应文件的组成</w:t>
      </w:r>
    </w:p>
    <w:p>
      <w:pPr>
        <w:spacing w:line="360" w:lineRule="auto"/>
        <w:ind w:firstLine="480" w:firstLineChars="200"/>
        <w:rPr>
          <w:rFonts w:ascii="宋体" w:hAnsi="宋体"/>
          <w:color w:val="auto"/>
          <w:sz w:val="24"/>
        </w:rPr>
      </w:pPr>
      <w:r>
        <w:rPr>
          <w:rFonts w:hint="eastAsia" w:ascii="宋体" w:hAnsi="宋体"/>
          <w:color w:val="auto"/>
          <w:sz w:val="24"/>
        </w:rPr>
        <w:t>（1）响应函</w:t>
      </w:r>
    </w:p>
    <w:p>
      <w:pPr>
        <w:spacing w:line="360" w:lineRule="auto"/>
        <w:ind w:firstLine="480" w:firstLineChars="200"/>
        <w:rPr>
          <w:rFonts w:ascii="宋体" w:hAnsi="宋体"/>
          <w:color w:val="auto"/>
          <w:sz w:val="24"/>
        </w:rPr>
      </w:pPr>
      <w:r>
        <w:rPr>
          <w:rFonts w:hint="eastAsia" w:ascii="宋体" w:hAnsi="宋体"/>
          <w:color w:val="auto"/>
          <w:sz w:val="24"/>
        </w:rPr>
        <w:t>（2）报价一览表</w:t>
      </w:r>
    </w:p>
    <w:p>
      <w:pPr>
        <w:spacing w:line="360" w:lineRule="auto"/>
        <w:ind w:firstLine="480" w:firstLineChars="200"/>
        <w:rPr>
          <w:rFonts w:ascii="宋体" w:hAnsi="宋体"/>
          <w:color w:val="auto"/>
          <w:sz w:val="24"/>
        </w:rPr>
      </w:pPr>
      <w:r>
        <w:rPr>
          <w:rFonts w:hint="eastAsia" w:ascii="宋体" w:hAnsi="宋体"/>
          <w:color w:val="auto"/>
          <w:sz w:val="24"/>
        </w:rPr>
        <w:t>（3）报价分项表</w:t>
      </w:r>
    </w:p>
    <w:p>
      <w:pPr>
        <w:spacing w:line="360" w:lineRule="auto"/>
        <w:ind w:firstLine="480" w:firstLineChars="200"/>
        <w:rPr>
          <w:rFonts w:ascii="宋体" w:hAnsi="宋体"/>
          <w:color w:val="auto"/>
          <w:sz w:val="24"/>
        </w:rPr>
      </w:pPr>
      <w:r>
        <w:rPr>
          <w:rFonts w:hint="eastAsia" w:ascii="宋体" w:hAnsi="宋体"/>
          <w:color w:val="auto"/>
          <w:sz w:val="24"/>
        </w:rPr>
        <w:t>（4）资格证明文件（见3.9）</w:t>
      </w:r>
    </w:p>
    <w:p>
      <w:pPr>
        <w:spacing w:line="360" w:lineRule="auto"/>
        <w:ind w:firstLine="480" w:firstLineChars="200"/>
        <w:rPr>
          <w:rFonts w:ascii="宋体" w:hAnsi="宋体"/>
          <w:color w:val="auto"/>
          <w:sz w:val="24"/>
        </w:rPr>
      </w:pPr>
      <w:r>
        <w:rPr>
          <w:rFonts w:hint="eastAsia" w:ascii="宋体" w:hAnsi="宋体"/>
          <w:color w:val="auto"/>
          <w:sz w:val="24"/>
        </w:rPr>
        <w:t>（5）</w:t>
      </w:r>
      <w:r>
        <w:rPr>
          <w:rFonts w:ascii="宋体" w:hAnsi="宋体"/>
          <w:color w:val="auto"/>
          <w:sz w:val="24"/>
        </w:rPr>
        <w:t>技术和服务要求响应表</w:t>
      </w:r>
    </w:p>
    <w:p>
      <w:pPr>
        <w:spacing w:line="360" w:lineRule="auto"/>
        <w:ind w:firstLine="480" w:firstLineChars="200"/>
        <w:rPr>
          <w:rFonts w:ascii="宋体" w:hAnsi="宋体"/>
          <w:color w:val="auto"/>
          <w:sz w:val="24"/>
        </w:rPr>
      </w:pPr>
      <w:r>
        <w:rPr>
          <w:rFonts w:hint="eastAsia" w:ascii="宋体" w:hAnsi="宋体"/>
          <w:color w:val="auto"/>
          <w:sz w:val="24"/>
        </w:rPr>
        <w:t>（6）采购内容及要求的承诺书</w:t>
      </w:r>
    </w:p>
    <w:p>
      <w:pPr>
        <w:spacing w:line="360" w:lineRule="auto"/>
        <w:ind w:firstLine="480" w:firstLineChars="200"/>
        <w:rPr>
          <w:rFonts w:ascii="宋体" w:hAnsi="宋体"/>
          <w:color w:val="auto"/>
          <w:sz w:val="24"/>
        </w:rPr>
      </w:pPr>
      <w:r>
        <w:rPr>
          <w:rFonts w:hint="eastAsia" w:ascii="宋体" w:hAnsi="宋体"/>
          <w:color w:val="auto"/>
          <w:sz w:val="24"/>
        </w:rPr>
        <w:t>（7）提交的其他资料（若无此项资料则无需提供）</w:t>
      </w:r>
    </w:p>
    <w:p>
      <w:pPr>
        <w:pStyle w:val="90"/>
        <w:ind w:firstLine="482"/>
        <w:rPr>
          <w:rFonts w:ascii="宋体" w:hAnsi="宋体"/>
          <w:b/>
          <w:color w:val="auto"/>
        </w:rPr>
      </w:pPr>
      <w:r>
        <w:rPr>
          <w:rFonts w:hint="eastAsia"/>
          <w:b/>
          <w:color w:val="auto"/>
        </w:rPr>
        <w:t>上述（1）至（6）项材料，询价供应商必须提供，否则将被视为未实质性响应询价通知书要求。</w:t>
      </w:r>
    </w:p>
    <w:p>
      <w:pPr>
        <w:spacing w:line="360" w:lineRule="auto"/>
        <w:ind w:firstLine="482" w:firstLineChars="200"/>
        <w:rPr>
          <w:rFonts w:ascii="宋体" w:hAnsi="宋体"/>
          <w:b/>
          <w:color w:val="auto"/>
          <w:sz w:val="24"/>
        </w:rPr>
      </w:pPr>
      <w:r>
        <w:rPr>
          <w:rFonts w:hint="eastAsia" w:ascii="宋体" w:hAnsi="宋体"/>
          <w:b/>
          <w:color w:val="auto"/>
          <w:sz w:val="24"/>
        </w:rPr>
        <w:t>10.2</w:t>
      </w:r>
      <w:r>
        <w:rPr>
          <w:rFonts w:hint="eastAsia" w:ascii="黑体" w:hAnsi="宋体" w:eastAsia="黑体"/>
          <w:b/>
          <w:color w:val="auto"/>
          <w:sz w:val="24"/>
        </w:rPr>
        <w:t>询价响应文件</w:t>
      </w:r>
      <w:r>
        <w:rPr>
          <w:rFonts w:hint="eastAsia" w:ascii="宋体" w:hAnsi="宋体"/>
          <w:b/>
          <w:color w:val="auto"/>
          <w:sz w:val="24"/>
        </w:rPr>
        <w:t>提供原件清单部分</w:t>
      </w:r>
    </w:p>
    <w:p>
      <w:pPr>
        <w:spacing w:line="360" w:lineRule="auto"/>
        <w:ind w:firstLine="482" w:firstLineChars="200"/>
        <w:rPr>
          <w:rFonts w:ascii="黑体" w:hAnsi="宋体" w:eastAsia="黑体"/>
          <w:b/>
          <w:color w:val="auto"/>
          <w:sz w:val="24"/>
          <w:u w:val="single"/>
        </w:rPr>
      </w:pPr>
      <w:r>
        <w:rPr>
          <w:rFonts w:hint="eastAsia" w:ascii="黑体" w:hAnsi="宋体" w:eastAsia="黑体"/>
          <w:b/>
          <w:color w:val="auto"/>
          <w:sz w:val="24"/>
          <w:u w:val="single"/>
        </w:rPr>
        <w:t>（1）询价通知书有规定需装订成册的原件，需按询价通知书的条款进行装订密封提交，否则，按询价通知书规定处理。</w:t>
      </w:r>
    </w:p>
    <w:p>
      <w:pPr>
        <w:spacing w:line="360" w:lineRule="auto"/>
        <w:ind w:left="1" w:firstLine="482" w:firstLineChars="200"/>
        <w:rPr>
          <w:rFonts w:ascii="黑体" w:hAnsi="宋体" w:eastAsia="黑体"/>
          <w:color w:val="auto"/>
          <w:sz w:val="24"/>
        </w:rPr>
      </w:pPr>
      <w:r>
        <w:rPr>
          <w:rFonts w:hint="eastAsia" w:ascii="黑体" w:hAnsi="宋体" w:eastAsia="黑体"/>
          <w:b/>
          <w:color w:val="auto"/>
          <w:sz w:val="24"/>
          <w:u w:val="single"/>
        </w:rPr>
        <w:t>（2）除上述（1）条款之外的、询价通知书</w:t>
      </w:r>
      <w:r>
        <w:rPr>
          <w:rFonts w:hint="eastAsia" w:ascii="黑体" w:hAnsi="宋体" w:eastAsia="黑体"/>
          <w:color w:val="auto"/>
          <w:sz w:val="24"/>
        </w:rPr>
        <w:t>另有要求提供的证书（或证明材料）原件供评委核对评审的，供应商应按格式列出详细原件清单，在递交响应文件截止时间前提交（超过响应文件递交截止时间的将不予接收），本原件清单和原件无须粘贴、装订、密封。</w:t>
      </w:r>
    </w:p>
    <w:p>
      <w:pPr>
        <w:spacing w:line="360" w:lineRule="auto"/>
        <w:ind w:firstLine="482" w:firstLineChars="200"/>
        <w:rPr>
          <w:rFonts w:ascii="黑体" w:hAnsi="宋体" w:eastAsia="黑体"/>
          <w:b/>
          <w:color w:val="auto"/>
          <w:sz w:val="24"/>
        </w:rPr>
      </w:pPr>
      <w:r>
        <w:rPr>
          <w:rFonts w:hint="eastAsia"/>
          <w:b/>
          <w:color w:val="auto"/>
          <w:sz w:val="24"/>
          <w:u w:val="single"/>
        </w:rPr>
        <w:t>（</w:t>
      </w:r>
      <w:r>
        <w:rPr>
          <w:b/>
          <w:color w:val="auto"/>
          <w:sz w:val="24"/>
          <w:u w:val="single"/>
        </w:rPr>
        <w:t>3</w:t>
      </w:r>
      <w:r>
        <w:rPr>
          <w:rFonts w:hint="eastAsia"/>
          <w:b/>
          <w:color w:val="auto"/>
          <w:sz w:val="24"/>
          <w:u w:val="single"/>
        </w:rPr>
        <w:t>）供应商在递交本原件材料时，由于供应商的原因造成采购代理机构无法在投标截止时间前签收的，则原件清单与原件实物不符的后果由供应商自行承担。</w:t>
      </w:r>
    </w:p>
    <w:p>
      <w:pPr>
        <w:spacing w:line="360" w:lineRule="auto"/>
        <w:ind w:firstLine="480" w:firstLineChars="200"/>
        <w:rPr>
          <w:rFonts w:ascii="宋体" w:hAnsi="宋体"/>
          <w:color w:val="auto"/>
          <w:sz w:val="24"/>
        </w:rPr>
      </w:pPr>
      <w:r>
        <w:rPr>
          <w:rFonts w:hint="eastAsia" w:ascii="宋体" w:hAnsi="宋体"/>
          <w:color w:val="auto"/>
          <w:sz w:val="24"/>
        </w:rPr>
        <w:t>11</w:t>
      </w:r>
      <w:r>
        <w:rPr>
          <w:rFonts w:ascii="宋体" w:hAnsi="宋体"/>
          <w:color w:val="auto"/>
          <w:sz w:val="24"/>
        </w:rPr>
        <w:t xml:space="preserve">. </w:t>
      </w:r>
      <w:r>
        <w:rPr>
          <w:rFonts w:hint="eastAsia" w:ascii="宋体" w:hAnsi="宋体"/>
          <w:color w:val="auto"/>
          <w:sz w:val="24"/>
        </w:rPr>
        <w:t>询价响应有效期</w:t>
      </w:r>
    </w:p>
    <w:p>
      <w:pPr>
        <w:spacing w:line="360" w:lineRule="auto"/>
        <w:ind w:firstLine="480" w:firstLineChars="200"/>
        <w:rPr>
          <w:rFonts w:ascii="宋体" w:hAnsi="宋体"/>
          <w:color w:val="auto"/>
          <w:sz w:val="24"/>
        </w:rPr>
      </w:pPr>
      <w:r>
        <w:rPr>
          <w:rFonts w:hint="eastAsia" w:ascii="宋体" w:hAnsi="宋体"/>
          <w:color w:val="auto"/>
          <w:sz w:val="24"/>
        </w:rPr>
        <w:t>11.1询价响应文件从</w:t>
      </w:r>
      <w:r>
        <w:rPr>
          <w:rFonts w:hint="eastAsia" w:ascii="宋体" w:hAnsi="宋体"/>
          <w:bCs/>
          <w:color w:val="auto"/>
          <w:sz w:val="24"/>
        </w:rPr>
        <w:t>询价供应商须知前附表</w:t>
      </w:r>
      <w:r>
        <w:rPr>
          <w:rFonts w:hint="eastAsia" w:ascii="宋体" w:hAnsi="宋体"/>
          <w:color w:val="auto"/>
          <w:sz w:val="24"/>
        </w:rPr>
        <w:t>第4项所规定的递交询价响应文件截止期之后开始生效，在</w:t>
      </w:r>
      <w:r>
        <w:rPr>
          <w:rFonts w:hint="eastAsia" w:ascii="宋体" w:hAnsi="宋体"/>
          <w:bCs/>
          <w:color w:val="auto"/>
          <w:sz w:val="24"/>
        </w:rPr>
        <w:t>询价供应商须知前附表</w:t>
      </w:r>
      <w:r>
        <w:rPr>
          <w:rFonts w:hint="eastAsia" w:ascii="宋体" w:hAnsi="宋体"/>
          <w:color w:val="auto"/>
          <w:sz w:val="24"/>
        </w:rPr>
        <w:t>第</w:t>
      </w:r>
      <w:r>
        <w:rPr>
          <w:rFonts w:ascii="宋体" w:hAnsi="宋体"/>
          <w:color w:val="auto"/>
          <w:sz w:val="24"/>
        </w:rPr>
        <w:t>3</w:t>
      </w:r>
      <w:r>
        <w:rPr>
          <w:rFonts w:hint="eastAsia" w:ascii="宋体" w:hAnsi="宋体"/>
          <w:color w:val="auto"/>
          <w:sz w:val="24"/>
        </w:rPr>
        <w:t>项所规定的期限内保持有效。有效期不足将导致其询价响应文件被拒绝。</w:t>
      </w:r>
    </w:p>
    <w:p>
      <w:pPr>
        <w:spacing w:line="360" w:lineRule="auto"/>
        <w:ind w:firstLine="480" w:firstLineChars="200"/>
        <w:rPr>
          <w:rFonts w:ascii="宋体" w:hAnsi="宋体"/>
          <w:color w:val="auto"/>
          <w:sz w:val="24"/>
        </w:rPr>
      </w:pPr>
      <w:r>
        <w:rPr>
          <w:rFonts w:hint="eastAsia" w:ascii="宋体" w:hAnsi="宋体"/>
          <w:color w:val="auto"/>
          <w:sz w:val="24"/>
        </w:rPr>
        <w:t>11.2特殊情况下招标代理机构可于询价响应有效期满之前书面要求询价供应商同意延长有效期，询价供应商应在招标代理机构规定的期限内以书面形式予以答复。询价供应商可以拒绝上述要求而其询价保证金可按规定予以退还。询价供应商答复不明确或者逾期未答复的，均视为拒绝上述要求。对于接受该要求的询价供应商，既不要求也不允许其修改询价响应文件，但将要求其相应延长询价保证金有效期，有关退还和不予退还询价保证金的规定在询价响应有效期延长期内继续有效。</w:t>
      </w:r>
    </w:p>
    <w:p>
      <w:pPr>
        <w:spacing w:line="360" w:lineRule="auto"/>
        <w:ind w:firstLine="480" w:firstLineChars="200"/>
        <w:rPr>
          <w:rFonts w:ascii="宋体" w:hAnsi="宋体"/>
          <w:color w:val="auto"/>
          <w:sz w:val="24"/>
        </w:rPr>
      </w:pPr>
      <w:r>
        <w:rPr>
          <w:rFonts w:hint="eastAsia" w:ascii="宋体" w:hAnsi="宋体"/>
          <w:color w:val="auto"/>
          <w:sz w:val="24"/>
        </w:rPr>
        <w:t>12. 询价保证金</w:t>
      </w:r>
    </w:p>
    <w:p>
      <w:pPr>
        <w:spacing w:line="360" w:lineRule="auto"/>
        <w:ind w:firstLine="480" w:firstLineChars="200"/>
        <w:rPr>
          <w:rFonts w:ascii="宋体" w:hAnsi="宋体"/>
          <w:color w:val="auto"/>
          <w:sz w:val="24"/>
        </w:rPr>
      </w:pPr>
      <w:r>
        <w:rPr>
          <w:rFonts w:hint="eastAsia" w:ascii="宋体" w:hAnsi="宋体"/>
          <w:color w:val="auto"/>
          <w:sz w:val="24"/>
        </w:rPr>
        <w:t>12.1 询价保证金为询价响应文件的组成部分之一。</w:t>
      </w:r>
    </w:p>
    <w:p>
      <w:pPr>
        <w:spacing w:line="360" w:lineRule="auto"/>
        <w:ind w:firstLine="480" w:firstLineChars="200"/>
        <w:rPr>
          <w:rFonts w:ascii="宋体" w:hAnsi="宋体"/>
          <w:color w:val="auto"/>
          <w:sz w:val="24"/>
        </w:rPr>
      </w:pPr>
      <w:r>
        <w:rPr>
          <w:rFonts w:hint="eastAsia" w:ascii="宋体" w:hAnsi="宋体"/>
          <w:color w:val="auto"/>
          <w:sz w:val="24"/>
        </w:rPr>
        <w:t>12.2询价供应商应按须知前附表第5项要求缴纳询价保证金。</w:t>
      </w:r>
    </w:p>
    <w:p>
      <w:pPr>
        <w:spacing w:line="360" w:lineRule="auto"/>
        <w:ind w:firstLine="480" w:firstLineChars="200"/>
        <w:rPr>
          <w:rFonts w:ascii="宋体" w:hAnsi="宋体"/>
          <w:color w:val="auto"/>
          <w:sz w:val="24"/>
        </w:rPr>
      </w:pPr>
      <w:r>
        <w:rPr>
          <w:rFonts w:hint="eastAsia" w:ascii="宋体" w:hAnsi="宋体"/>
          <w:color w:val="auto"/>
          <w:sz w:val="24"/>
        </w:rPr>
        <w:t>12.3 询价保证金用于保护本次询价活动免受询价供应商的行为而引起的风险。</w:t>
      </w:r>
    </w:p>
    <w:p>
      <w:pPr>
        <w:spacing w:line="360" w:lineRule="auto"/>
        <w:ind w:firstLine="480" w:firstLineChars="200"/>
        <w:rPr>
          <w:rFonts w:ascii="宋体" w:hAnsi="宋体"/>
          <w:color w:val="auto"/>
          <w:sz w:val="24"/>
        </w:rPr>
      </w:pPr>
      <w:r>
        <w:rPr>
          <w:rFonts w:hint="eastAsia" w:ascii="宋体" w:hAnsi="宋体"/>
          <w:color w:val="auto"/>
          <w:sz w:val="24"/>
        </w:rPr>
        <w:t>12.4 询价保证金以电汇、转账形式提交。</w:t>
      </w:r>
    </w:p>
    <w:p>
      <w:pPr>
        <w:spacing w:line="360" w:lineRule="auto"/>
        <w:ind w:firstLine="480" w:firstLineChars="200"/>
        <w:rPr>
          <w:rFonts w:ascii="宋体" w:hAnsi="宋体"/>
          <w:color w:val="auto"/>
          <w:sz w:val="24"/>
        </w:rPr>
      </w:pPr>
      <w:r>
        <w:rPr>
          <w:rFonts w:hint="eastAsia" w:ascii="宋体" w:hAnsi="宋体"/>
          <w:color w:val="auto"/>
          <w:sz w:val="24"/>
        </w:rPr>
        <w:t>12.5 未按规定缴交询价保证金的，其询价将被拒绝。</w:t>
      </w:r>
    </w:p>
    <w:p>
      <w:pPr>
        <w:pStyle w:val="5"/>
        <w:snapToGrid w:val="0"/>
        <w:spacing w:line="360" w:lineRule="auto"/>
        <w:ind w:firstLine="480" w:firstLineChars="200"/>
        <w:outlineLvl w:val="0"/>
        <w:rPr>
          <w:rFonts w:ascii="宋体" w:hAnsi="宋体"/>
          <w:color w:val="auto"/>
          <w:sz w:val="24"/>
        </w:rPr>
      </w:pPr>
      <w:bookmarkStart w:id="35" w:name="_Toc8803"/>
      <w:r>
        <w:rPr>
          <w:rFonts w:hint="eastAsia" w:ascii="宋体" w:hAnsi="宋体"/>
          <w:color w:val="auto"/>
          <w:sz w:val="24"/>
        </w:rPr>
        <w:t>12.6招标代理机构</w:t>
      </w:r>
      <w:r>
        <w:rPr>
          <w:rFonts w:ascii="宋体" w:hAnsi="宋体"/>
          <w:color w:val="auto"/>
          <w:sz w:val="24"/>
        </w:rPr>
        <w:t>将在</w:t>
      </w:r>
      <w:r>
        <w:rPr>
          <w:rFonts w:hint="eastAsia" w:ascii="宋体" w:hAnsi="宋体"/>
          <w:color w:val="auto"/>
          <w:sz w:val="24"/>
        </w:rPr>
        <w:t>成交通知书发出之日起五个工作日内予以原额无息退还</w:t>
      </w:r>
      <w:r>
        <w:rPr>
          <w:rFonts w:ascii="宋体" w:hAnsi="宋体"/>
          <w:color w:val="auto"/>
          <w:sz w:val="24"/>
        </w:rPr>
        <w:t>成交供应商</w:t>
      </w:r>
      <w:r>
        <w:rPr>
          <w:rFonts w:hint="eastAsia" w:ascii="宋体" w:hAnsi="宋体"/>
          <w:color w:val="auto"/>
          <w:sz w:val="24"/>
        </w:rPr>
        <w:t>以外</w:t>
      </w:r>
      <w:r>
        <w:rPr>
          <w:rFonts w:ascii="宋体" w:hAnsi="宋体"/>
          <w:color w:val="auto"/>
          <w:sz w:val="24"/>
        </w:rPr>
        <w:t>的询价供应商的询价保证金</w:t>
      </w:r>
      <w:r>
        <w:rPr>
          <w:rFonts w:hint="eastAsia" w:ascii="宋体" w:hAnsi="宋体"/>
          <w:color w:val="auto"/>
          <w:sz w:val="24"/>
        </w:rPr>
        <w:t>。因招标代理机构原因造成</w:t>
      </w:r>
      <w:r>
        <w:rPr>
          <w:rFonts w:hint="eastAsia" w:ascii="宋体" w:hAnsi="宋体"/>
          <w:color w:val="auto"/>
          <w:sz w:val="24"/>
          <w:szCs w:val="18"/>
        </w:rPr>
        <w:t>逾期退还</w:t>
      </w:r>
      <w:r>
        <w:rPr>
          <w:rFonts w:ascii="宋体" w:hAnsi="宋体"/>
          <w:color w:val="auto"/>
          <w:sz w:val="24"/>
        </w:rPr>
        <w:t>询价保证金的</w:t>
      </w:r>
      <w:r>
        <w:rPr>
          <w:rFonts w:hint="eastAsia" w:ascii="宋体" w:hAnsi="宋体"/>
          <w:color w:val="auto"/>
          <w:sz w:val="24"/>
        </w:rPr>
        <w:t>,招标代理机构</w:t>
      </w:r>
      <w:r>
        <w:rPr>
          <w:rFonts w:hint="eastAsia" w:ascii="宋体" w:hAnsi="宋体"/>
          <w:color w:val="auto"/>
          <w:sz w:val="24"/>
          <w:szCs w:val="18"/>
        </w:rPr>
        <w:t>应当按商业银行同期一年期贷款基准利率上浮20%后的利率向询价供应商支付资金占用费</w:t>
      </w:r>
      <w:r>
        <w:rPr>
          <w:rFonts w:hint="eastAsia" w:ascii="宋体" w:hAnsi="宋体"/>
          <w:color w:val="auto"/>
          <w:szCs w:val="18"/>
        </w:rPr>
        <w:t>。</w:t>
      </w:r>
      <w:bookmarkEnd w:id="35"/>
    </w:p>
    <w:p>
      <w:pPr>
        <w:spacing w:line="360" w:lineRule="auto"/>
        <w:ind w:firstLine="482" w:firstLineChars="200"/>
        <w:rPr>
          <w:rFonts w:ascii="宋体" w:hAnsi="宋体"/>
          <w:b/>
          <w:color w:val="auto"/>
          <w:sz w:val="24"/>
        </w:rPr>
      </w:pPr>
      <w:r>
        <w:rPr>
          <w:rFonts w:hint="eastAsia" w:ascii="宋体" w:hAnsi="宋体"/>
          <w:b/>
          <w:color w:val="auto"/>
          <w:sz w:val="24"/>
        </w:rPr>
        <w:t>12.7成交供应商与采购人签订合同后，凭合同原件，到卓知项目管理顾问有限公司无息退回询价保证金。</w:t>
      </w:r>
    </w:p>
    <w:p>
      <w:pPr>
        <w:spacing w:line="360" w:lineRule="auto"/>
        <w:ind w:firstLine="480" w:firstLineChars="200"/>
        <w:rPr>
          <w:rFonts w:ascii="宋体" w:hAnsi="宋体"/>
          <w:color w:val="auto"/>
          <w:sz w:val="24"/>
        </w:rPr>
      </w:pPr>
      <w:r>
        <w:rPr>
          <w:rFonts w:hint="eastAsia" w:ascii="宋体" w:hAnsi="宋体"/>
          <w:color w:val="auto"/>
          <w:sz w:val="24"/>
        </w:rPr>
        <w:t>12.8 询价保证金的有效期为询价响应有效期满后的30个日历日。</w:t>
      </w:r>
    </w:p>
    <w:p>
      <w:pPr>
        <w:spacing w:line="360" w:lineRule="auto"/>
        <w:ind w:firstLine="480" w:firstLineChars="200"/>
        <w:rPr>
          <w:rFonts w:ascii="宋体" w:hAnsi="宋体"/>
          <w:color w:val="auto"/>
          <w:sz w:val="24"/>
        </w:rPr>
      </w:pPr>
      <w:r>
        <w:rPr>
          <w:rFonts w:hint="eastAsia" w:ascii="宋体" w:hAnsi="宋体"/>
          <w:color w:val="auto"/>
          <w:sz w:val="24"/>
        </w:rPr>
        <w:t>12.9发生以下情况之一的，询价保证金将不予退还：</w:t>
      </w:r>
    </w:p>
    <w:p>
      <w:pPr>
        <w:spacing w:line="360" w:lineRule="auto"/>
        <w:ind w:firstLine="480" w:firstLineChars="200"/>
        <w:rPr>
          <w:rFonts w:ascii="宋体" w:hAnsi="宋体"/>
          <w:color w:val="auto"/>
          <w:sz w:val="24"/>
        </w:rPr>
      </w:pPr>
      <w:r>
        <w:rPr>
          <w:rFonts w:hint="eastAsia" w:ascii="宋体" w:hAnsi="宋体"/>
          <w:color w:val="auto"/>
          <w:sz w:val="24"/>
        </w:rPr>
        <w:t>（1）供应商在提交响应文件截止时间后撤回响应文件的；</w:t>
      </w:r>
    </w:p>
    <w:p>
      <w:pPr>
        <w:spacing w:line="360" w:lineRule="auto"/>
        <w:ind w:firstLine="480" w:firstLineChars="200"/>
        <w:rPr>
          <w:rFonts w:ascii="宋体" w:hAnsi="宋体"/>
          <w:color w:val="auto"/>
          <w:sz w:val="24"/>
        </w:rPr>
      </w:pPr>
      <w:r>
        <w:rPr>
          <w:rFonts w:hint="eastAsia" w:ascii="宋体" w:hAnsi="宋体"/>
          <w:color w:val="auto"/>
          <w:sz w:val="24"/>
        </w:rPr>
        <w:t>（2）供应商在响应文件中提供虚假材料的；</w:t>
      </w:r>
    </w:p>
    <w:p>
      <w:pPr>
        <w:spacing w:line="360" w:lineRule="auto"/>
        <w:ind w:firstLine="480" w:firstLineChars="200"/>
        <w:rPr>
          <w:rFonts w:ascii="宋体" w:hAnsi="宋体"/>
          <w:color w:val="auto"/>
          <w:sz w:val="24"/>
        </w:rPr>
      </w:pPr>
      <w:r>
        <w:rPr>
          <w:rFonts w:hint="eastAsia" w:ascii="宋体" w:hAnsi="宋体"/>
          <w:color w:val="auto"/>
          <w:sz w:val="24"/>
        </w:rPr>
        <w:t>（3）除因不可抗力、询价通知书认可的情形以外，成交供应商不与采购人签订合同的；</w:t>
      </w:r>
    </w:p>
    <w:p>
      <w:pPr>
        <w:spacing w:line="360" w:lineRule="auto"/>
        <w:ind w:firstLine="480" w:firstLineChars="200"/>
        <w:rPr>
          <w:rFonts w:ascii="宋体" w:hAnsi="宋体"/>
          <w:color w:val="auto"/>
          <w:sz w:val="24"/>
        </w:rPr>
      </w:pPr>
      <w:r>
        <w:rPr>
          <w:rFonts w:hint="eastAsia" w:ascii="宋体" w:hAnsi="宋体"/>
          <w:color w:val="auto"/>
          <w:sz w:val="24"/>
        </w:rPr>
        <w:t>（4）供应商与采购人、其他供应商或者采购代理机构恶意串通的；</w:t>
      </w:r>
    </w:p>
    <w:p>
      <w:pPr>
        <w:spacing w:line="360" w:lineRule="auto"/>
        <w:ind w:firstLine="480" w:firstLineChars="200"/>
        <w:rPr>
          <w:rFonts w:ascii="宋体" w:hAnsi="宋体"/>
          <w:color w:val="auto"/>
          <w:sz w:val="24"/>
        </w:rPr>
      </w:pPr>
      <w:r>
        <w:rPr>
          <w:rFonts w:hint="eastAsia" w:ascii="宋体" w:hAnsi="宋体"/>
          <w:color w:val="auto"/>
          <w:sz w:val="24"/>
        </w:rPr>
        <w:t>（5）采购文件规定的其他情形。</w:t>
      </w:r>
    </w:p>
    <w:p>
      <w:pPr>
        <w:spacing w:line="360" w:lineRule="auto"/>
        <w:ind w:firstLine="480" w:firstLineChars="200"/>
        <w:rPr>
          <w:rFonts w:ascii="宋体" w:hAnsi="宋体"/>
          <w:color w:val="auto"/>
          <w:sz w:val="24"/>
        </w:rPr>
      </w:pPr>
      <w:r>
        <w:rPr>
          <w:rFonts w:hint="eastAsia" w:ascii="宋体" w:hAnsi="宋体"/>
          <w:color w:val="auto"/>
          <w:sz w:val="24"/>
        </w:rPr>
        <w:t>上述不予退还询价保证金的情况给采购单位或招标代理机构造成损失的，还要承担赔偿责任。</w:t>
      </w:r>
    </w:p>
    <w:p>
      <w:pPr>
        <w:spacing w:line="360" w:lineRule="auto"/>
        <w:ind w:firstLine="480" w:firstLineChars="200"/>
        <w:rPr>
          <w:rFonts w:ascii="宋体" w:hAnsi="宋体"/>
          <w:color w:val="auto"/>
          <w:sz w:val="24"/>
        </w:rPr>
      </w:pPr>
      <w:r>
        <w:rPr>
          <w:rFonts w:hint="eastAsia" w:ascii="宋体" w:hAnsi="宋体"/>
          <w:color w:val="auto"/>
          <w:sz w:val="24"/>
        </w:rPr>
        <w:t>12.10询价供应商有下列情形之一的，其询价保证金将不予退还，并报请须知前附表所列行政监督管理部门同意，列入不良行为记录名单，在一至三年内禁止参加新罗区采购活动，并予以公告。情节严重的，报请其他有权机关处理。</w:t>
      </w:r>
    </w:p>
    <w:p>
      <w:pPr>
        <w:tabs>
          <w:tab w:val="center" w:pos="4776"/>
        </w:tabs>
        <w:spacing w:line="360" w:lineRule="auto"/>
        <w:ind w:firstLine="480" w:firstLineChars="200"/>
        <w:rPr>
          <w:rFonts w:ascii="宋体" w:hAnsi="宋体"/>
          <w:color w:val="auto"/>
          <w:sz w:val="24"/>
        </w:rPr>
      </w:pPr>
      <w:r>
        <w:rPr>
          <w:rFonts w:hint="eastAsia" w:ascii="宋体" w:hAnsi="宋体"/>
          <w:color w:val="auto"/>
          <w:sz w:val="24"/>
        </w:rPr>
        <w:t>（1）提供虚假材料谋取成交的；</w:t>
      </w:r>
    </w:p>
    <w:p>
      <w:pPr>
        <w:spacing w:line="360" w:lineRule="auto"/>
        <w:ind w:firstLine="480" w:firstLineChars="200"/>
        <w:rPr>
          <w:rFonts w:ascii="宋体" w:hAnsi="宋体"/>
          <w:color w:val="auto"/>
          <w:sz w:val="24"/>
        </w:rPr>
      </w:pPr>
      <w:r>
        <w:rPr>
          <w:rFonts w:hint="eastAsia" w:ascii="宋体" w:hAnsi="宋体"/>
          <w:color w:val="auto"/>
          <w:sz w:val="24"/>
        </w:rPr>
        <w:t>（2）采取不正当手段诋毁、排挤其他供应商的；</w:t>
      </w:r>
    </w:p>
    <w:p>
      <w:pPr>
        <w:spacing w:line="360" w:lineRule="auto"/>
        <w:ind w:firstLine="480" w:firstLineChars="200"/>
        <w:rPr>
          <w:rFonts w:ascii="宋体" w:hAnsi="宋体"/>
          <w:color w:val="auto"/>
          <w:sz w:val="24"/>
        </w:rPr>
      </w:pPr>
      <w:r>
        <w:rPr>
          <w:rFonts w:hint="eastAsia" w:ascii="宋体" w:hAnsi="宋体"/>
          <w:color w:val="auto"/>
          <w:sz w:val="24"/>
        </w:rPr>
        <w:t>（3）与采购单位或招标代理机构、其他询价供应商恶意串通的。</w:t>
      </w:r>
    </w:p>
    <w:p>
      <w:pPr>
        <w:spacing w:line="360" w:lineRule="auto"/>
        <w:ind w:firstLine="480" w:firstLineChars="200"/>
        <w:rPr>
          <w:rFonts w:ascii="宋体" w:hAnsi="宋体"/>
          <w:color w:val="auto"/>
          <w:sz w:val="24"/>
        </w:rPr>
      </w:pPr>
      <w:r>
        <w:rPr>
          <w:rFonts w:hint="eastAsia" w:ascii="宋体" w:hAnsi="宋体"/>
          <w:color w:val="auto"/>
          <w:sz w:val="24"/>
        </w:rPr>
        <w:t>12.11成交供应商放弃成交，其询价保证金不予退还，同时应按相关法律、规章、规范性文件的规定承担相应的法律责任。</w:t>
      </w:r>
    </w:p>
    <w:p>
      <w:pPr>
        <w:spacing w:line="360" w:lineRule="auto"/>
        <w:ind w:firstLine="480" w:firstLineChars="200"/>
        <w:rPr>
          <w:rFonts w:ascii="宋体" w:hAnsi="宋体"/>
          <w:color w:val="auto"/>
          <w:sz w:val="24"/>
        </w:rPr>
      </w:pPr>
      <w:r>
        <w:rPr>
          <w:rFonts w:hint="eastAsia" w:ascii="宋体" w:hAnsi="宋体"/>
          <w:color w:val="auto"/>
          <w:sz w:val="24"/>
        </w:rPr>
        <w:t>13</w:t>
      </w:r>
      <w:r>
        <w:rPr>
          <w:rFonts w:ascii="宋体" w:hAnsi="宋体"/>
          <w:color w:val="auto"/>
          <w:sz w:val="24"/>
        </w:rPr>
        <w:t xml:space="preserve">. </w:t>
      </w:r>
      <w:r>
        <w:rPr>
          <w:rFonts w:hint="eastAsia" w:ascii="宋体" w:hAnsi="宋体"/>
          <w:color w:val="auto"/>
          <w:sz w:val="24"/>
        </w:rPr>
        <w:t>询价响应文件的格式</w:t>
      </w:r>
    </w:p>
    <w:p>
      <w:pPr>
        <w:spacing w:line="360" w:lineRule="auto"/>
        <w:ind w:firstLine="480" w:firstLineChars="200"/>
        <w:rPr>
          <w:rFonts w:ascii="宋体" w:hAnsi="宋体"/>
          <w:b/>
          <w:color w:val="auto"/>
          <w:sz w:val="24"/>
        </w:rPr>
      </w:pPr>
      <w:r>
        <w:rPr>
          <w:rFonts w:hint="eastAsia" w:ascii="宋体" w:hAnsi="宋体"/>
          <w:color w:val="auto"/>
          <w:sz w:val="24"/>
        </w:rPr>
        <w:t>13.1询价供应商须编制由本须知第10条规定文件组成的</w:t>
      </w:r>
      <w:r>
        <w:rPr>
          <w:rFonts w:hint="eastAsia" w:ascii="宋体" w:hAnsi="宋体"/>
          <w:b/>
          <w:color w:val="auto"/>
          <w:sz w:val="24"/>
        </w:rPr>
        <w:t>询价响应文件正本</w:t>
      </w:r>
      <w:r>
        <w:rPr>
          <w:rFonts w:hint="eastAsia" w:ascii="宋体" w:hAnsi="宋体"/>
          <w:b/>
          <w:color w:val="auto"/>
          <w:sz w:val="24"/>
          <w:lang w:val="en-US" w:eastAsia="zh-CN"/>
        </w:rPr>
        <w:t>1</w:t>
      </w:r>
      <w:r>
        <w:rPr>
          <w:rFonts w:hint="eastAsia" w:ascii="宋体" w:hAnsi="宋体"/>
          <w:b/>
          <w:color w:val="auto"/>
          <w:sz w:val="24"/>
        </w:rPr>
        <w:t>份，副本</w:t>
      </w:r>
      <w:r>
        <w:rPr>
          <w:rFonts w:hint="eastAsia" w:ascii="宋体" w:hAnsi="宋体"/>
          <w:b/>
          <w:color w:val="auto"/>
          <w:sz w:val="24"/>
          <w:lang w:val="en-US" w:eastAsia="zh-CN"/>
        </w:rPr>
        <w:t>2</w:t>
      </w:r>
      <w:r>
        <w:rPr>
          <w:rFonts w:hint="eastAsia" w:ascii="宋体" w:hAnsi="宋体"/>
          <w:b/>
          <w:color w:val="auto"/>
          <w:sz w:val="24"/>
        </w:rPr>
        <w:t>份；</w:t>
      </w:r>
      <w:r>
        <w:rPr>
          <w:rFonts w:hint="eastAsia" w:ascii="宋体" w:hAnsi="宋体"/>
          <w:color w:val="auto"/>
          <w:sz w:val="24"/>
        </w:rPr>
        <w:t>正本用A4幅面纸张打印装订，副本可以用正本的完整复印件，并在封面标明“正本”、“副本”字样。正本与副本如有不一致，则以正本为准。</w:t>
      </w:r>
    </w:p>
    <w:p>
      <w:pPr>
        <w:spacing w:line="360" w:lineRule="auto"/>
        <w:ind w:firstLine="480" w:firstLineChars="200"/>
        <w:rPr>
          <w:rFonts w:ascii="宋体" w:hAnsi="宋体"/>
          <w:color w:val="auto"/>
          <w:sz w:val="24"/>
        </w:rPr>
      </w:pPr>
      <w:r>
        <w:rPr>
          <w:rFonts w:hint="eastAsia" w:ascii="宋体" w:hAnsi="宋体"/>
          <w:color w:val="auto"/>
          <w:sz w:val="24"/>
        </w:rPr>
        <w:t>参加询价采购活动的供应商，应当按照询价通知书的规定一次报出不得更改的价格。</w:t>
      </w:r>
    </w:p>
    <w:p>
      <w:pPr>
        <w:spacing w:line="360" w:lineRule="auto"/>
        <w:ind w:firstLine="480" w:firstLineChars="200"/>
        <w:rPr>
          <w:rFonts w:ascii="宋体" w:hAnsi="宋体"/>
          <w:color w:val="auto"/>
          <w:sz w:val="24"/>
        </w:rPr>
      </w:pPr>
      <w:r>
        <w:rPr>
          <w:rFonts w:hint="eastAsia" w:ascii="宋体" w:hAnsi="宋体"/>
          <w:color w:val="auto"/>
          <w:sz w:val="24"/>
        </w:rPr>
        <w:t>13.2询价响应文件应由询价供应商的法定代表人或者其授权代表签字并加盖公章，如由后者签字，应提供“法定代表人授权委托书”。</w:t>
      </w:r>
    </w:p>
    <w:p>
      <w:pPr>
        <w:spacing w:line="360" w:lineRule="auto"/>
        <w:ind w:firstLine="480" w:firstLineChars="200"/>
        <w:rPr>
          <w:rFonts w:ascii="宋体" w:hAnsi="宋体"/>
          <w:color w:val="auto"/>
          <w:sz w:val="24"/>
        </w:rPr>
      </w:pPr>
      <w:r>
        <w:rPr>
          <w:rFonts w:hint="eastAsia" w:ascii="宋体" w:hAnsi="宋体"/>
          <w:color w:val="auto"/>
          <w:sz w:val="24"/>
        </w:rPr>
        <w:t>13.3除非有另外的规定或许可，询价响应文件使用货币为人民币。</w:t>
      </w:r>
    </w:p>
    <w:p>
      <w:pPr>
        <w:spacing w:line="360" w:lineRule="auto"/>
        <w:ind w:firstLine="480" w:firstLineChars="200"/>
        <w:rPr>
          <w:rFonts w:ascii="宋体" w:hAnsi="宋体"/>
          <w:color w:val="auto"/>
          <w:sz w:val="24"/>
        </w:rPr>
      </w:pPr>
      <w:r>
        <w:rPr>
          <w:rFonts w:hint="eastAsia" w:ascii="宋体" w:hAnsi="宋体"/>
          <w:color w:val="auto"/>
          <w:sz w:val="24"/>
        </w:rPr>
        <w:t xml:space="preserve">13.4询价供应商应提交证明其拟供货物符合询价通知书要求的技术响应文件，该文件可以是文字资料、图纸和数据，并须提供货物主要技术性能的详细描述。                                  </w:t>
      </w:r>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w:t>
      </w:r>
      <w:r>
        <w:rPr>
          <w:rFonts w:hint="eastAsia" w:ascii="宋体" w:hAnsi="宋体"/>
          <w:color w:val="auto"/>
          <w:sz w:val="24"/>
        </w:rPr>
        <w:t>5询价响应文件的正本和全部副本均应使用不能擦去的墨料或墨水打印、书写或复印，并由法定代表人或其授权代表签署，盖询价供应商公章。</w:t>
      </w:r>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w:t>
      </w:r>
      <w:r>
        <w:rPr>
          <w:rFonts w:hint="eastAsia" w:ascii="宋体" w:hAnsi="宋体"/>
          <w:color w:val="auto"/>
          <w:sz w:val="24"/>
        </w:rPr>
        <w:t xml:space="preserve">6全套询价响应文件应无涂改和行间插字，除非这些改动是根据招标代理机构的指示进行的，或者是为改正询价供应商造成的必须修改的错误而进行的。有改动时，修改处应由授权代表签署证明或加盖校正章。 </w:t>
      </w:r>
    </w:p>
    <w:p>
      <w:pPr>
        <w:spacing w:line="360" w:lineRule="auto"/>
        <w:ind w:firstLine="482" w:firstLineChars="200"/>
        <w:rPr>
          <w:rFonts w:ascii="宋体" w:hAnsi="宋体"/>
          <w:b/>
          <w:color w:val="auto"/>
          <w:sz w:val="24"/>
        </w:rPr>
      </w:pPr>
      <w:r>
        <w:rPr>
          <w:rFonts w:hint="eastAsia" w:ascii="宋体" w:hAnsi="宋体"/>
          <w:b/>
          <w:color w:val="auto"/>
          <w:sz w:val="24"/>
        </w:rPr>
        <w:t>13.7未按本须知规定的格式填写询价响应文件、询价响应文件关键字迹模糊不清的，其询价将被拒绝。</w:t>
      </w:r>
    </w:p>
    <w:p>
      <w:pPr>
        <w:spacing w:line="360" w:lineRule="auto"/>
        <w:ind w:firstLine="482" w:firstLineChars="200"/>
        <w:rPr>
          <w:rFonts w:ascii="宋体"/>
          <w:b/>
          <w:bCs/>
          <w:color w:val="auto"/>
          <w:sz w:val="24"/>
          <w:szCs w:val="24"/>
        </w:rPr>
      </w:pPr>
      <w:r>
        <w:rPr>
          <w:rFonts w:hint="eastAsia" w:ascii="宋体" w:hAnsi="宋体"/>
          <w:b/>
          <w:color w:val="auto"/>
          <w:sz w:val="24"/>
        </w:rPr>
        <w:t>13.8响应文件提供的复印件应当与原件一致，并加盖供应商公章。</w:t>
      </w:r>
    </w:p>
    <w:p>
      <w:pPr>
        <w:pStyle w:val="2"/>
        <w:numPr>
          <w:ilvl w:val="1"/>
          <w:numId w:val="0"/>
        </w:numPr>
        <w:rPr>
          <w:rFonts w:cs="Times New Roman"/>
          <w:color w:val="auto"/>
        </w:rPr>
      </w:pPr>
      <w:bookmarkStart w:id="36" w:name="_Toc23655"/>
      <w:bookmarkStart w:id="37" w:name="_Toc4087"/>
      <w:r>
        <w:rPr>
          <w:rFonts w:hint="eastAsia" w:cs="宋体"/>
          <w:color w:val="auto"/>
        </w:rPr>
        <w:t>四、询价响应文件的递交</w:t>
      </w:r>
      <w:bookmarkEnd w:id="36"/>
      <w:bookmarkEnd w:id="37"/>
    </w:p>
    <w:p>
      <w:pPr>
        <w:spacing w:line="360" w:lineRule="auto"/>
        <w:ind w:firstLine="480" w:firstLineChars="200"/>
        <w:rPr>
          <w:rFonts w:ascii="宋体" w:hAnsi="宋体"/>
          <w:color w:val="auto"/>
          <w:sz w:val="24"/>
        </w:rPr>
      </w:pPr>
      <w:r>
        <w:rPr>
          <w:rFonts w:hint="eastAsia" w:ascii="宋体" w:hAnsi="宋体"/>
          <w:color w:val="auto"/>
          <w:sz w:val="24"/>
        </w:rPr>
        <w:t>14.询价响应文件的密封、标记和递交</w:t>
      </w:r>
    </w:p>
    <w:p>
      <w:pPr>
        <w:spacing w:line="360" w:lineRule="auto"/>
        <w:ind w:firstLine="480" w:firstLineChars="200"/>
        <w:rPr>
          <w:rFonts w:ascii="宋体" w:hAnsi="宋体"/>
          <w:color w:val="auto"/>
          <w:sz w:val="24"/>
        </w:rPr>
      </w:pPr>
      <w:r>
        <w:rPr>
          <w:rFonts w:hint="eastAsia" w:ascii="宋体" w:hAnsi="宋体"/>
          <w:color w:val="auto"/>
          <w:sz w:val="24"/>
        </w:rPr>
        <w:t>14.1 询价供应商应将询价响应文件用密封袋密封，并标明询价项目编号、项目名称、询价供应商名称及“正本”、“副本”字样。</w:t>
      </w:r>
    </w:p>
    <w:p>
      <w:pPr>
        <w:spacing w:line="360" w:lineRule="auto"/>
        <w:ind w:firstLine="480" w:firstLineChars="200"/>
        <w:rPr>
          <w:rFonts w:ascii="宋体" w:hAnsi="宋体"/>
          <w:color w:val="auto"/>
          <w:sz w:val="24"/>
        </w:rPr>
      </w:pPr>
      <w:r>
        <w:rPr>
          <w:rFonts w:hint="eastAsia" w:ascii="宋体" w:hAnsi="宋体"/>
          <w:color w:val="auto"/>
          <w:sz w:val="24"/>
        </w:rPr>
        <w:t>14.2每一密封袋密封处应注明“于         之前（指询价邀请中规定的询价日期及时间）不准启封”的字样，加盖询价供应商公章或法定代表人、授权代表签字或盖章。</w:t>
      </w:r>
    </w:p>
    <w:p>
      <w:pPr>
        <w:spacing w:line="360" w:lineRule="auto"/>
        <w:ind w:firstLine="480" w:firstLineChars="200"/>
        <w:rPr>
          <w:rFonts w:ascii="宋体" w:hAnsi="宋体"/>
          <w:color w:val="auto"/>
          <w:sz w:val="24"/>
        </w:rPr>
      </w:pPr>
      <w:r>
        <w:rPr>
          <w:rFonts w:hint="eastAsia" w:ascii="宋体" w:hAnsi="宋体"/>
          <w:color w:val="auto"/>
          <w:sz w:val="24"/>
        </w:rPr>
        <w:t>14.3询价响应文件未按上述规定密封、签字或盖章的为无效询价响应文件，其询价将被拒绝。</w:t>
      </w:r>
    </w:p>
    <w:p>
      <w:pPr>
        <w:spacing w:line="360" w:lineRule="auto"/>
        <w:ind w:firstLine="480" w:firstLineChars="200"/>
        <w:rPr>
          <w:rFonts w:ascii="宋体" w:hAnsi="宋体"/>
          <w:color w:val="auto"/>
          <w:sz w:val="24"/>
        </w:rPr>
      </w:pPr>
      <w:r>
        <w:rPr>
          <w:rFonts w:hint="eastAsia" w:ascii="宋体" w:hAnsi="宋体"/>
          <w:color w:val="auto"/>
          <w:sz w:val="24"/>
        </w:rPr>
        <w:t>14.4询价响应文件须由专人按询价供应商须知前附表注明的地址送至接收人。</w:t>
      </w:r>
    </w:p>
    <w:p>
      <w:pPr>
        <w:spacing w:line="360" w:lineRule="auto"/>
        <w:ind w:firstLine="480" w:firstLineChars="200"/>
        <w:rPr>
          <w:rFonts w:ascii="宋体" w:hAnsi="宋体"/>
          <w:color w:val="auto"/>
          <w:sz w:val="24"/>
        </w:rPr>
      </w:pPr>
      <w:r>
        <w:rPr>
          <w:rFonts w:hint="eastAsia" w:ascii="宋体" w:hAnsi="宋体"/>
          <w:color w:val="auto"/>
          <w:sz w:val="24"/>
        </w:rPr>
        <w:t>14.5询价响应文件应在询价邀请中规定的截止时间前送达，迟到的询价响应文件为无效询价响应文件, 将被拒收。</w:t>
      </w:r>
    </w:p>
    <w:p>
      <w:pPr>
        <w:spacing w:line="360" w:lineRule="auto"/>
        <w:ind w:firstLine="480" w:firstLineChars="200"/>
        <w:rPr>
          <w:rFonts w:ascii="宋体" w:hAnsi="宋体"/>
          <w:color w:val="auto"/>
          <w:sz w:val="24"/>
          <w:szCs w:val="18"/>
        </w:rPr>
      </w:pPr>
      <w:r>
        <w:rPr>
          <w:rFonts w:hint="eastAsia" w:ascii="宋体" w:hAnsi="宋体"/>
          <w:color w:val="auto"/>
          <w:sz w:val="24"/>
        </w:rPr>
        <w:t>14.6</w:t>
      </w:r>
      <w:r>
        <w:rPr>
          <w:rFonts w:hint="eastAsia" w:ascii="ΟGB2312" w:hAnsi="宋体" w:eastAsia="ΟGB2312" w:cs="宋体"/>
          <w:color w:val="auto"/>
          <w:kern w:val="0"/>
          <w:sz w:val="24"/>
        </w:rPr>
        <w:t>供应商在提交响应文件截止时间前，可以对所提交的响应文件进行补充、修改或者撤回，并书面通知采购人、采购代理机构。补充、修改的内容</w:t>
      </w:r>
      <w:r>
        <w:rPr>
          <w:rFonts w:hint="eastAsia" w:ascii="宋体" w:hAnsi="宋体"/>
          <w:color w:val="auto"/>
          <w:sz w:val="24"/>
          <w:szCs w:val="18"/>
        </w:rPr>
        <w:t>和撤回通知应当按本须知要求签署、盖章、密封，并作为询价响应文件的组成部分</w:t>
      </w:r>
      <w:r>
        <w:rPr>
          <w:rFonts w:hint="eastAsia" w:ascii="ΟGB2312" w:hAnsi="宋体" w:eastAsia="ΟGB2312" w:cs="宋体"/>
          <w:color w:val="auto"/>
          <w:kern w:val="0"/>
          <w:sz w:val="24"/>
        </w:rPr>
        <w:t>。补充、修改的内容与响应文件不一致的，以补充、修改的内容为准。</w:t>
      </w:r>
    </w:p>
    <w:p>
      <w:pPr>
        <w:spacing w:line="360" w:lineRule="auto"/>
        <w:ind w:firstLine="480" w:firstLineChars="200"/>
        <w:rPr>
          <w:rFonts w:ascii="宋体" w:hAnsi="宋体"/>
          <w:color w:val="auto"/>
          <w:sz w:val="24"/>
        </w:rPr>
      </w:pPr>
      <w:r>
        <w:rPr>
          <w:rFonts w:hint="eastAsia" w:ascii="宋体" w:hAnsi="宋体"/>
          <w:color w:val="auto"/>
          <w:sz w:val="24"/>
        </w:rPr>
        <w:t>14.7询价供应商在递交询价响应文件截止时间后不得修改、撤回询价响应文件。</w:t>
      </w:r>
    </w:p>
    <w:p>
      <w:pPr>
        <w:spacing w:line="360" w:lineRule="auto"/>
        <w:ind w:firstLine="480" w:firstLineChars="200"/>
        <w:rPr>
          <w:rFonts w:ascii="宋体"/>
          <w:color w:val="auto"/>
          <w:sz w:val="24"/>
          <w:szCs w:val="24"/>
        </w:rPr>
      </w:pPr>
      <w:r>
        <w:rPr>
          <w:rFonts w:hint="eastAsia" w:ascii="宋体" w:hAnsi="宋体"/>
          <w:color w:val="auto"/>
          <w:sz w:val="24"/>
        </w:rPr>
        <w:t>14.8递交询价响应文件截止时间结束后参加询价的询价供应商不足三家的，本次询价程序终止，除采购任务取消情形外，采购单位或招标代理机构将依法重新组织采购。</w:t>
      </w:r>
    </w:p>
    <w:p>
      <w:pPr>
        <w:spacing w:line="360" w:lineRule="auto"/>
        <w:ind w:firstLine="480" w:firstLineChars="200"/>
        <w:rPr>
          <w:rFonts w:ascii="宋体"/>
          <w:color w:val="auto"/>
          <w:sz w:val="24"/>
          <w:szCs w:val="24"/>
        </w:rPr>
      </w:pPr>
    </w:p>
    <w:p>
      <w:pPr>
        <w:pStyle w:val="2"/>
        <w:numPr>
          <w:ilvl w:val="1"/>
          <w:numId w:val="0"/>
        </w:numPr>
        <w:rPr>
          <w:rFonts w:cs="Times New Roman"/>
          <w:color w:val="auto"/>
        </w:rPr>
      </w:pPr>
      <w:bookmarkStart w:id="38" w:name="_Toc5842"/>
      <w:bookmarkStart w:id="39" w:name="_Toc27120"/>
      <w:r>
        <w:rPr>
          <w:rFonts w:hint="eastAsia" w:cs="宋体"/>
          <w:color w:val="auto"/>
        </w:rPr>
        <w:t>五、询价响应文件的评估和比较</w:t>
      </w:r>
      <w:bookmarkEnd w:id="38"/>
      <w:bookmarkEnd w:id="39"/>
    </w:p>
    <w:p>
      <w:pPr>
        <w:spacing w:line="360" w:lineRule="auto"/>
        <w:ind w:firstLine="480" w:firstLineChars="200"/>
        <w:rPr>
          <w:rFonts w:ascii="宋体" w:hAnsi="宋体"/>
          <w:color w:val="auto"/>
          <w:sz w:val="24"/>
        </w:rPr>
      </w:pPr>
      <w:r>
        <w:rPr>
          <w:rFonts w:hint="eastAsia" w:ascii="宋体" w:hAnsi="宋体"/>
          <w:color w:val="auto"/>
          <w:sz w:val="24"/>
        </w:rPr>
        <w:t>15．询价采购会</w:t>
      </w:r>
    </w:p>
    <w:p>
      <w:pPr>
        <w:spacing w:line="360" w:lineRule="auto"/>
        <w:ind w:firstLine="480" w:firstLineChars="200"/>
        <w:rPr>
          <w:rFonts w:ascii="宋体" w:hAnsi="宋体"/>
          <w:color w:val="auto"/>
          <w:sz w:val="24"/>
        </w:rPr>
      </w:pPr>
      <w:r>
        <w:rPr>
          <w:rFonts w:hint="eastAsia" w:ascii="宋体" w:hAnsi="宋体"/>
          <w:color w:val="auto"/>
          <w:sz w:val="24"/>
        </w:rPr>
        <w:t>15.1 在询价供应商须知前附表中所规定的时间、地点召开询价采购会。</w:t>
      </w:r>
    </w:p>
    <w:p>
      <w:pPr>
        <w:spacing w:line="360" w:lineRule="auto"/>
        <w:ind w:firstLine="480" w:firstLineChars="200"/>
        <w:rPr>
          <w:rFonts w:ascii="宋体" w:hAnsi="宋体"/>
          <w:color w:val="auto"/>
          <w:sz w:val="24"/>
          <w:szCs w:val="18"/>
        </w:rPr>
      </w:pPr>
      <w:r>
        <w:rPr>
          <w:rFonts w:hint="eastAsia" w:ascii="宋体" w:hAnsi="宋体"/>
          <w:color w:val="auto"/>
          <w:sz w:val="24"/>
        </w:rPr>
        <w:t>15.2</w:t>
      </w:r>
      <w:r>
        <w:rPr>
          <w:rFonts w:hint="eastAsia" w:ascii="宋体" w:hAnsi="宋体"/>
          <w:color w:val="auto"/>
          <w:sz w:val="24"/>
          <w:szCs w:val="18"/>
        </w:rPr>
        <w:t>询价采购会由招标代理机构主持，采购人、询价供应商和有关方面代表参加。所有</w:t>
      </w:r>
      <w:r>
        <w:rPr>
          <w:rFonts w:ascii="宋体" w:hAnsi="宋体"/>
          <w:color w:val="auto"/>
          <w:sz w:val="24"/>
          <w:szCs w:val="18"/>
        </w:rPr>
        <w:t>询价供应商</w:t>
      </w:r>
      <w:r>
        <w:rPr>
          <w:rFonts w:hint="eastAsia" w:ascii="宋体" w:hAnsi="宋体"/>
          <w:color w:val="auto"/>
          <w:sz w:val="24"/>
          <w:szCs w:val="18"/>
        </w:rPr>
        <w:t>应派</w:t>
      </w:r>
      <w:r>
        <w:rPr>
          <w:rFonts w:ascii="宋体" w:hAnsi="宋体"/>
          <w:color w:val="auto"/>
          <w:sz w:val="24"/>
          <w:szCs w:val="18"/>
        </w:rPr>
        <w:t>授权代表</w:t>
      </w:r>
      <w:r>
        <w:rPr>
          <w:rFonts w:hint="eastAsia" w:ascii="宋体" w:hAnsi="宋体"/>
          <w:color w:val="auto"/>
          <w:sz w:val="24"/>
          <w:szCs w:val="18"/>
        </w:rPr>
        <w:t>参加询价采购会</w:t>
      </w:r>
      <w:r>
        <w:rPr>
          <w:rFonts w:ascii="宋体" w:hAnsi="宋体"/>
          <w:color w:val="auto"/>
          <w:sz w:val="24"/>
          <w:szCs w:val="18"/>
        </w:rPr>
        <w:t>，</w:t>
      </w:r>
      <w:r>
        <w:rPr>
          <w:rFonts w:hint="eastAsia" w:ascii="宋体" w:hAnsi="宋体"/>
          <w:color w:val="auto"/>
          <w:sz w:val="24"/>
          <w:szCs w:val="18"/>
        </w:rPr>
        <w:t>并签到。</w:t>
      </w:r>
    </w:p>
    <w:p>
      <w:pPr>
        <w:spacing w:line="360" w:lineRule="auto"/>
        <w:ind w:firstLine="480" w:firstLineChars="200"/>
        <w:rPr>
          <w:rFonts w:ascii="宋体" w:hAnsi="宋体"/>
          <w:color w:val="auto"/>
          <w:sz w:val="24"/>
          <w:szCs w:val="18"/>
        </w:rPr>
      </w:pPr>
      <w:r>
        <w:rPr>
          <w:rFonts w:hint="eastAsia" w:ascii="宋体" w:hAnsi="宋体"/>
          <w:color w:val="auto"/>
          <w:sz w:val="24"/>
          <w:szCs w:val="18"/>
        </w:rPr>
        <w:t>15.3 询价采购会开始时，由询价供应商或者其推选的代表或者监督人员检查询价响应文件的密封情况，也可以由招标代理机构委托的公证机构公证人员检查并公证。对符合密封要求的询价响应文件按照提交询价响应文件时间的先后顺序（或者逆顺序）当场逐一拆封响应文件，由采购会主持人宣读报价一览表，包括各询价供应商的名称、投报报价以及</w:t>
      </w:r>
      <w:r>
        <w:rPr>
          <w:rFonts w:hint="eastAsia" w:ascii="宋体" w:hAnsi="宋体"/>
          <w:color w:val="auto"/>
          <w:sz w:val="24"/>
        </w:rPr>
        <w:t>其他主要内容</w:t>
      </w:r>
      <w:r>
        <w:rPr>
          <w:rFonts w:hint="eastAsia" w:ascii="宋体" w:hAnsi="宋体"/>
          <w:color w:val="auto"/>
          <w:sz w:val="24"/>
          <w:szCs w:val="18"/>
        </w:rPr>
        <w:t>。</w:t>
      </w:r>
      <w:r>
        <w:rPr>
          <w:rFonts w:hint="eastAsia" w:ascii="ˎ̥" w:hAnsi="ˎ̥" w:cs="Tahoma"/>
          <w:color w:val="auto"/>
          <w:kern w:val="0"/>
          <w:sz w:val="24"/>
        </w:rPr>
        <w:t>采购会过程由专人负责记录。</w:t>
      </w:r>
    </w:p>
    <w:p>
      <w:pPr>
        <w:spacing w:line="360" w:lineRule="auto"/>
        <w:ind w:firstLine="480" w:firstLineChars="200"/>
        <w:rPr>
          <w:rFonts w:ascii="宋体" w:hAnsi="宋体"/>
          <w:color w:val="auto"/>
          <w:sz w:val="24"/>
          <w:szCs w:val="18"/>
        </w:rPr>
      </w:pPr>
      <w:r>
        <w:rPr>
          <w:rFonts w:hint="eastAsia" w:ascii="宋体" w:hAnsi="宋体"/>
          <w:color w:val="auto"/>
          <w:sz w:val="24"/>
          <w:szCs w:val="18"/>
        </w:rPr>
        <w:t>15.4报价一览表内容与分项报价表内容不一致时以报价一览表为准。</w:t>
      </w:r>
    </w:p>
    <w:p>
      <w:pPr>
        <w:spacing w:line="360" w:lineRule="auto"/>
        <w:ind w:left="84" w:leftChars="40" w:firstLine="480" w:firstLineChars="200"/>
        <w:rPr>
          <w:color w:val="auto"/>
        </w:rPr>
      </w:pPr>
      <w:r>
        <w:rPr>
          <w:rFonts w:hint="eastAsia" w:ascii="宋体" w:hAnsi="宋体"/>
          <w:color w:val="auto"/>
          <w:sz w:val="24"/>
        </w:rPr>
        <w:t>16．询价小组</w:t>
      </w:r>
    </w:p>
    <w:p>
      <w:pPr>
        <w:spacing w:line="360" w:lineRule="auto"/>
        <w:ind w:firstLine="480" w:firstLineChars="200"/>
        <w:jc w:val="left"/>
        <w:rPr>
          <w:color w:val="auto"/>
          <w:sz w:val="24"/>
        </w:rPr>
      </w:pPr>
      <w:r>
        <w:rPr>
          <w:rFonts w:hint="eastAsia"/>
          <w:color w:val="auto"/>
          <w:sz w:val="24"/>
        </w:rPr>
        <w:t>询价小组。采购代理机构根据本次询价采购的特点和有关规定组成询价小组。该询价小组由采购人代表、评审专家组成，其中专家的人数不得少于成员总数的三分之二。</w:t>
      </w:r>
    </w:p>
    <w:p>
      <w:pPr>
        <w:spacing w:line="360" w:lineRule="auto"/>
        <w:ind w:firstLine="480" w:firstLineChars="200"/>
        <w:rPr>
          <w:rFonts w:ascii="宋体" w:hAnsi="宋体"/>
          <w:color w:val="auto"/>
          <w:sz w:val="24"/>
        </w:rPr>
      </w:pPr>
      <w:r>
        <w:rPr>
          <w:rFonts w:hint="eastAsia" w:ascii="宋体" w:hAnsi="宋体"/>
          <w:color w:val="auto"/>
          <w:sz w:val="24"/>
        </w:rPr>
        <w:t>17</w:t>
      </w:r>
      <w:r>
        <w:rPr>
          <w:rFonts w:ascii="宋体" w:hAnsi="宋体"/>
          <w:color w:val="auto"/>
          <w:sz w:val="24"/>
        </w:rPr>
        <w:t xml:space="preserve">. </w:t>
      </w:r>
      <w:r>
        <w:rPr>
          <w:rFonts w:hint="eastAsia" w:ascii="宋体" w:hAnsi="宋体"/>
          <w:color w:val="auto"/>
          <w:sz w:val="24"/>
        </w:rPr>
        <w:t>询价响应文件的初审</w:t>
      </w:r>
    </w:p>
    <w:p>
      <w:pPr>
        <w:spacing w:line="360" w:lineRule="auto"/>
        <w:ind w:firstLine="480" w:firstLineChars="200"/>
        <w:rPr>
          <w:rFonts w:ascii="宋体" w:hAnsi="宋体"/>
          <w:color w:val="auto"/>
          <w:sz w:val="24"/>
        </w:rPr>
      </w:pPr>
      <w:r>
        <w:rPr>
          <w:rFonts w:hint="eastAsia" w:ascii="宋体" w:hAnsi="宋体"/>
          <w:color w:val="auto"/>
          <w:sz w:val="24"/>
        </w:rPr>
        <w:t>对所有询价供应商的评估，都采用相同的程序和标准。评议过程将严格按照询价通知书的要求和条件进行。</w:t>
      </w:r>
    </w:p>
    <w:p>
      <w:pPr>
        <w:spacing w:line="360" w:lineRule="auto"/>
        <w:ind w:firstLine="480" w:firstLineChars="200"/>
        <w:rPr>
          <w:rFonts w:ascii="宋体" w:hAnsi="宋体"/>
          <w:color w:val="auto"/>
          <w:sz w:val="24"/>
        </w:rPr>
      </w:pPr>
      <w:r>
        <w:rPr>
          <w:rFonts w:hint="eastAsia" w:ascii="ΟGB2312" w:hAnsi="宋体" w:eastAsia="ΟGB2312" w:cs="宋体"/>
          <w:color w:val="auto"/>
          <w:kern w:val="0"/>
          <w:sz w:val="24"/>
        </w:rPr>
        <w:t>询价小组在询价过程中，不得改变询价通知书所确定的技术和服务等要求、评审程序、评定成交的标准和合同文本等事项。</w:t>
      </w:r>
    </w:p>
    <w:p>
      <w:pPr>
        <w:spacing w:line="360" w:lineRule="auto"/>
        <w:ind w:firstLine="480" w:firstLineChars="200"/>
        <w:rPr>
          <w:rFonts w:ascii="宋体" w:hAnsi="宋体"/>
          <w:color w:val="auto"/>
          <w:sz w:val="24"/>
          <w:szCs w:val="18"/>
        </w:rPr>
      </w:pPr>
      <w:r>
        <w:rPr>
          <w:rFonts w:hint="eastAsia" w:ascii="宋体" w:hAnsi="宋体"/>
          <w:color w:val="auto"/>
          <w:sz w:val="24"/>
        </w:rPr>
        <w:t>有关询价响应文件的审查、澄清、评估和比较以及与评审有关的其他情况都不得透露给任一询价供应商或与上述评审工作无关的人员。</w:t>
      </w:r>
    </w:p>
    <w:p>
      <w:pPr>
        <w:spacing w:line="360" w:lineRule="auto"/>
        <w:ind w:firstLine="480" w:firstLineChars="200"/>
        <w:rPr>
          <w:rFonts w:ascii="宋体" w:hAnsi="宋体"/>
          <w:color w:val="auto"/>
          <w:sz w:val="24"/>
        </w:rPr>
      </w:pPr>
      <w:r>
        <w:rPr>
          <w:rFonts w:hint="eastAsia" w:ascii="宋体" w:hAnsi="宋体"/>
          <w:color w:val="auto"/>
          <w:sz w:val="24"/>
        </w:rPr>
        <w:t>询价供应商任何试图影响询价小组对询价响应文件的评估、比较或者推荐候选人的行为，都将导致其询价被拒绝，并被没收询价保证金。</w:t>
      </w:r>
    </w:p>
    <w:p>
      <w:pPr>
        <w:spacing w:before="120" w:line="360" w:lineRule="auto"/>
        <w:ind w:firstLine="480" w:firstLineChars="200"/>
        <w:rPr>
          <w:rFonts w:ascii="宋体" w:hAnsi="宋体"/>
          <w:color w:val="auto"/>
          <w:sz w:val="24"/>
        </w:rPr>
      </w:pPr>
      <w:r>
        <w:rPr>
          <w:rFonts w:hint="eastAsia" w:ascii="宋体" w:hAnsi="宋体"/>
          <w:color w:val="auto"/>
          <w:sz w:val="24"/>
        </w:rPr>
        <w:t>17.1询价小组将对询价响应文件进行检查，以确定询价响应文件是否完整、有无计算上的错误、是否提交了询价保证金、文件是否已正确签署。</w:t>
      </w:r>
    </w:p>
    <w:p>
      <w:pPr>
        <w:spacing w:line="360" w:lineRule="auto"/>
        <w:ind w:firstLine="480" w:firstLineChars="200"/>
        <w:rPr>
          <w:rFonts w:ascii="宋体" w:hAnsi="宋体"/>
          <w:color w:val="auto"/>
          <w:sz w:val="24"/>
        </w:rPr>
      </w:pPr>
      <w:r>
        <w:rPr>
          <w:rFonts w:hint="eastAsia" w:ascii="宋体" w:hAnsi="宋体"/>
          <w:color w:val="auto"/>
          <w:sz w:val="24"/>
        </w:rPr>
        <w:t>17.2 算术错误将按以下方法更正：</w:t>
      </w:r>
    </w:p>
    <w:p>
      <w:pPr>
        <w:spacing w:line="360" w:lineRule="auto"/>
        <w:ind w:firstLine="480" w:firstLineChars="200"/>
        <w:rPr>
          <w:rFonts w:ascii="宋体" w:hAnsi="宋体"/>
          <w:color w:val="auto"/>
          <w:sz w:val="24"/>
        </w:rPr>
      </w:pPr>
      <w:r>
        <w:rPr>
          <w:rFonts w:hint="eastAsia" w:ascii="宋体" w:hAnsi="宋体"/>
          <w:color w:val="auto"/>
          <w:sz w:val="24"/>
        </w:rPr>
        <w:t>(1)询价响应文件中报价一览表(报价表)内容与询价响应文件中明细表内容不一致的，以报价一览表(报价表)为准。</w:t>
      </w:r>
    </w:p>
    <w:p>
      <w:pPr>
        <w:spacing w:line="360" w:lineRule="auto"/>
        <w:ind w:firstLine="480" w:firstLineChars="200"/>
        <w:rPr>
          <w:rFonts w:ascii="宋体" w:hAnsi="宋体"/>
          <w:color w:val="auto"/>
          <w:sz w:val="24"/>
        </w:rPr>
      </w:pPr>
      <w:r>
        <w:rPr>
          <w:rFonts w:hint="eastAsia" w:ascii="宋体" w:hAnsi="宋体"/>
          <w:color w:val="auto"/>
          <w:sz w:val="24"/>
        </w:rPr>
        <w:t>(2)询价响应文件的大写金额和小写金额不一致的，以大写金额为准；总价金额与按单价汇总金额不一致的，以单价金额计算结果为准；单价金额小数点有明显错位的，应以总价为准，并修改单价；对不同文字文本询价响应文件的解释发生异议的，以中文文本为准。</w:t>
      </w:r>
    </w:p>
    <w:p>
      <w:pPr>
        <w:spacing w:line="360" w:lineRule="auto"/>
        <w:ind w:firstLine="480" w:firstLineChars="200"/>
        <w:rPr>
          <w:rFonts w:ascii="宋体" w:hAnsi="宋体"/>
          <w:color w:val="auto"/>
          <w:sz w:val="24"/>
        </w:rPr>
      </w:pPr>
      <w:r>
        <w:rPr>
          <w:rFonts w:hint="eastAsia" w:ascii="宋体" w:hAnsi="宋体"/>
          <w:color w:val="auto"/>
          <w:sz w:val="24"/>
        </w:rPr>
        <w:t>如果询价供应商不接受按上述方法对询价响应文件中的算术错误进行更正，其询价将被拒绝并没收其询价保证金。</w:t>
      </w:r>
    </w:p>
    <w:p>
      <w:pPr>
        <w:spacing w:line="360" w:lineRule="auto"/>
        <w:ind w:firstLine="480" w:firstLineChars="200"/>
        <w:rPr>
          <w:rFonts w:ascii="宋体" w:hAnsi="宋体"/>
          <w:color w:val="auto"/>
          <w:sz w:val="24"/>
        </w:rPr>
      </w:pPr>
      <w:r>
        <w:rPr>
          <w:rFonts w:hint="eastAsia" w:ascii="宋体" w:hAnsi="宋体"/>
          <w:color w:val="auto"/>
          <w:sz w:val="24"/>
        </w:rPr>
        <w:t>17.3</w:t>
      </w:r>
      <w:r>
        <w:rPr>
          <w:rFonts w:hint="eastAsia" w:ascii="宋体" w:hAnsi="宋体"/>
          <w:color w:val="auto"/>
          <w:sz w:val="24"/>
          <w:szCs w:val="18"/>
        </w:rPr>
        <w:t>资格性检查和符合性检查</w:t>
      </w:r>
    </w:p>
    <w:p>
      <w:pPr>
        <w:spacing w:line="360" w:lineRule="auto"/>
        <w:ind w:firstLine="480" w:firstLineChars="200"/>
        <w:rPr>
          <w:rFonts w:ascii="宋体" w:hAnsi="宋体"/>
          <w:b/>
          <w:color w:val="auto"/>
          <w:sz w:val="24"/>
        </w:rPr>
      </w:pPr>
      <w:r>
        <w:rPr>
          <w:rFonts w:hint="eastAsia" w:ascii="宋体" w:hAnsi="宋体"/>
          <w:color w:val="auto"/>
          <w:sz w:val="24"/>
        </w:rPr>
        <w:t>17.3.</w:t>
      </w:r>
      <w:r>
        <w:rPr>
          <w:rFonts w:ascii="宋体" w:hAnsi="宋体"/>
          <w:color w:val="auto"/>
          <w:sz w:val="24"/>
        </w:rPr>
        <w:t>1</w:t>
      </w:r>
      <w:r>
        <w:rPr>
          <w:rFonts w:hint="eastAsia" w:ascii="宋体" w:hAnsi="宋体"/>
          <w:color w:val="auto"/>
          <w:sz w:val="24"/>
          <w:szCs w:val="18"/>
        </w:rPr>
        <w:t>资格性检查。依据法律法规和询价通知书的规定，</w:t>
      </w:r>
      <w:r>
        <w:rPr>
          <w:rFonts w:hint="eastAsia" w:ascii="宋体" w:hAnsi="宋体"/>
          <w:color w:val="auto"/>
          <w:sz w:val="24"/>
        </w:rPr>
        <w:t>在对询价响应文件详细评估之前，询价小组将依据询价供应商提交的询价响应文件按询价供应商须知前附表第2项所述的资格标准对询价供应商</w:t>
      </w:r>
      <w:r>
        <w:rPr>
          <w:rFonts w:hint="eastAsia" w:ascii="宋体" w:hAnsi="宋体"/>
          <w:color w:val="auto"/>
          <w:sz w:val="24"/>
          <w:szCs w:val="18"/>
        </w:rPr>
        <w:t xml:space="preserve">进行资格审查, </w:t>
      </w:r>
      <w:r>
        <w:rPr>
          <w:rFonts w:hint="eastAsia" w:ascii="宋体" w:hAnsi="宋体"/>
          <w:color w:val="auto"/>
          <w:sz w:val="24"/>
        </w:rPr>
        <w:t>以确定其</w:t>
      </w:r>
      <w:r>
        <w:rPr>
          <w:rFonts w:hint="eastAsia" w:ascii="宋体" w:hAnsi="宋体"/>
          <w:color w:val="auto"/>
          <w:sz w:val="24"/>
          <w:szCs w:val="18"/>
        </w:rPr>
        <w:t>是否具备询价资格</w:t>
      </w:r>
      <w:r>
        <w:rPr>
          <w:rFonts w:hint="eastAsia" w:ascii="宋体" w:hAnsi="宋体"/>
          <w:color w:val="auto"/>
          <w:sz w:val="24"/>
        </w:rPr>
        <w:t>。</w:t>
      </w:r>
      <w:r>
        <w:rPr>
          <w:rFonts w:hint="eastAsia" w:ascii="宋体" w:hAnsi="宋体"/>
          <w:b/>
          <w:color w:val="auto"/>
          <w:sz w:val="24"/>
        </w:rPr>
        <w:t>只有经询价小组审查，符合本采购文件资格条件规定的供应商才是合格的供应商。</w:t>
      </w:r>
      <w:r>
        <w:rPr>
          <w:rFonts w:hint="eastAsia" w:ascii="宋体" w:hAnsi="宋体"/>
          <w:color w:val="auto"/>
          <w:sz w:val="24"/>
        </w:rPr>
        <w:t>如果供应商不具备资格条件，不满足采购文件所规定的资格标准或提供资格证明材料不符合采购文件规定的, 其询价将被拒绝。</w:t>
      </w:r>
    </w:p>
    <w:p>
      <w:pPr>
        <w:spacing w:line="360" w:lineRule="auto"/>
        <w:ind w:firstLine="480" w:firstLineChars="200"/>
        <w:rPr>
          <w:rFonts w:ascii="黑体" w:hAnsi="宋体" w:eastAsia="黑体"/>
          <w:b/>
          <w:color w:val="auto"/>
          <w:sz w:val="24"/>
        </w:rPr>
      </w:pPr>
      <w:r>
        <w:rPr>
          <w:rFonts w:hint="eastAsia" w:ascii="宋体" w:hAnsi="宋体"/>
          <w:color w:val="auto"/>
          <w:sz w:val="24"/>
        </w:rPr>
        <w:t>17.3.2</w:t>
      </w:r>
      <w:r>
        <w:rPr>
          <w:rFonts w:hint="eastAsia" w:ascii="宋体" w:hAnsi="宋体"/>
          <w:color w:val="auto"/>
          <w:sz w:val="24"/>
          <w:szCs w:val="18"/>
        </w:rPr>
        <w:t>符合性检查。依据询价通知书的规定，</w:t>
      </w:r>
      <w:r>
        <w:rPr>
          <w:rFonts w:hint="eastAsia" w:ascii="宋体" w:hAnsi="宋体"/>
          <w:color w:val="auto"/>
          <w:sz w:val="24"/>
        </w:rPr>
        <w:t>询价小组还将</w:t>
      </w:r>
      <w:r>
        <w:rPr>
          <w:rFonts w:hint="eastAsia" w:ascii="宋体" w:hAnsi="宋体"/>
          <w:color w:val="auto"/>
          <w:sz w:val="24"/>
          <w:szCs w:val="18"/>
        </w:rPr>
        <w:t>从询价响应文件的有效性、完整性和对询价通知书的响应程度进行审查，以确定是否符合对询价通知书的实质性要求作出响应。</w:t>
      </w:r>
      <w:r>
        <w:rPr>
          <w:rFonts w:hint="eastAsia" w:ascii="宋体" w:hAnsi="宋体"/>
          <w:color w:val="auto"/>
          <w:sz w:val="24"/>
        </w:rPr>
        <w:t>（采购人可根据具体项目的情况对实质性要求作特别的规定）实质性偏离是指：（</w:t>
      </w:r>
      <w:r>
        <w:rPr>
          <w:rFonts w:ascii="宋体" w:hAnsi="宋体"/>
          <w:color w:val="auto"/>
          <w:sz w:val="24"/>
        </w:rPr>
        <w:t>1</w:t>
      </w:r>
      <w:r>
        <w:rPr>
          <w:rFonts w:hint="eastAsia" w:ascii="宋体" w:hAnsi="宋体"/>
          <w:color w:val="auto"/>
          <w:sz w:val="24"/>
        </w:rPr>
        <w:t>）实质性影响合同的范围、质量和履行；（</w:t>
      </w:r>
      <w:r>
        <w:rPr>
          <w:rFonts w:ascii="宋体" w:hAnsi="宋体"/>
          <w:color w:val="auto"/>
          <w:sz w:val="24"/>
        </w:rPr>
        <w:t>2</w:t>
      </w:r>
      <w:r>
        <w:rPr>
          <w:rFonts w:hint="eastAsia" w:ascii="宋体" w:hAnsi="宋体"/>
          <w:color w:val="auto"/>
          <w:sz w:val="24"/>
        </w:rPr>
        <w:t>）实质性违背询价通知书，限制了采购人的权利和成交供应商合同项下的义务；（</w:t>
      </w:r>
      <w:r>
        <w:rPr>
          <w:rFonts w:ascii="宋体" w:hAnsi="宋体"/>
          <w:color w:val="auto"/>
          <w:sz w:val="24"/>
        </w:rPr>
        <w:t>3</w:t>
      </w:r>
      <w:r>
        <w:rPr>
          <w:rFonts w:hint="eastAsia" w:ascii="宋体" w:hAnsi="宋体"/>
          <w:color w:val="auto"/>
          <w:sz w:val="24"/>
        </w:rPr>
        <w:t>）不公正地影响了其它作出实质性响应的询价供应商的竞争地位。对没有实质性响应的询价响应文件将不进行评估。</w:t>
      </w:r>
      <w:r>
        <w:rPr>
          <w:rFonts w:hint="eastAsia" w:ascii="黑体" w:hAnsi="宋体" w:eastAsia="黑体"/>
          <w:b/>
          <w:color w:val="auto"/>
          <w:sz w:val="24"/>
        </w:rPr>
        <w:t>凡有下列情况之一者，询价响应文件也将被视为未实质性响应询价通知书要求：</w:t>
      </w:r>
    </w:p>
    <w:p>
      <w:pPr>
        <w:spacing w:line="360" w:lineRule="auto"/>
        <w:ind w:firstLine="482" w:firstLineChars="200"/>
        <w:rPr>
          <w:rFonts w:ascii="宋体" w:hAnsi="宋体"/>
          <w:b/>
          <w:color w:val="auto"/>
          <w:sz w:val="24"/>
        </w:rPr>
      </w:pPr>
      <w:r>
        <w:rPr>
          <w:rFonts w:hint="eastAsia" w:ascii="宋体" w:hAnsi="宋体"/>
          <w:b/>
          <w:color w:val="auto"/>
          <w:sz w:val="24"/>
        </w:rPr>
        <w:t>(1) 询价响应文件未按照本须知第13.2、13.8、14条的规定进行编制、密封、标记的；</w:t>
      </w:r>
    </w:p>
    <w:p>
      <w:pPr>
        <w:spacing w:line="360" w:lineRule="auto"/>
        <w:ind w:firstLine="480" w:firstLineChars="200"/>
        <w:rPr>
          <w:rFonts w:ascii="宋体" w:hAnsi="宋体"/>
          <w:color w:val="auto"/>
          <w:sz w:val="24"/>
        </w:rPr>
      </w:pPr>
      <w:r>
        <w:rPr>
          <w:rFonts w:hint="eastAsia" w:ascii="宋体" w:hAnsi="宋体"/>
          <w:color w:val="auto"/>
          <w:sz w:val="24"/>
        </w:rPr>
        <w:t>(2)未按规定由询价供应商的法定代表人或其授权代表签字，或未加盖询价供应商公章的；或签字人未经法定代表人有效授权委托的；</w:t>
      </w:r>
    </w:p>
    <w:p>
      <w:pPr>
        <w:spacing w:line="360" w:lineRule="auto"/>
        <w:ind w:firstLine="480" w:firstLineChars="200"/>
        <w:rPr>
          <w:rFonts w:ascii="宋体" w:hAnsi="宋体"/>
          <w:color w:val="auto"/>
          <w:sz w:val="24"/>
        </w:rPr>
      </w:pPr>
      <w:r>
        <w:rPr>
          <w:rFonts w:hint="eastAsia" w:ascii="宋体" w:hAnsi="宋体"/>
          <w:color w:val="auto"/>
          <w:sz w:val="24"/>
        </w:rPr>
        <w:t>(3)未缴纳询价保证金或金额不足的；</w:t>
      </w:r>
    </w:p>
    <w:p>
      <w:pPr>
        <w:spacing w:line="360" w:lineRule="auto"/>
        <w:ind w:firstLine="480" w:firstLineChars="200"/>
        <w:rPr>
          <w:rFonts w:ascii="宋体" w:hAnsi="宋体"/>
          <w:color w:val="auto"/>
          <w:sz w:val="24"/>
        </w:rPr>
      </w:pPr>
      <w:r>
        <w:rPr>
          <w:rFonts w:hint="eastAsia" w:ascii="宋体" w:hAnsi="宋体"/>
          <w:color w:val="auto"/>
          <w:sz w:val="24"/>
        </w:rPr>
        <w:t>(4)询价供应商之间存在本须知第3.3条规定的；</w:t>
      </w:r>
    </w:p>
    <w:p>
      <w:pPr>
        <w:spacing w:line="360" w:lineRule="auto"/>
        <w:ind w:firstLine="480" w:firstLineChars="200"/>
        <w:rPr>
          <w:rFonts w:ascii="宋体" w:hAnsi="宋体"/>
          <w:color w:val="auto"/>
          <w:sz w:val="24"/>
        </w:rPr>
      </w:pPr>
      <w:r>
        <w:rPr>
          <w:rFonts w:hint="eastAsia" w:ascii="宋体" w:hAnsi="宋体"/>
          <w:color w:val="auto"/>
          <w:sz w:val="24"/>
        </w:rPr>
        <w:t>(5)询价响应有效期不满足询价通知书要求的；</w:t>
      </w:r>
    </w:p>
    <w:p>
      <w:pPr>
        <w:spacing w:line="360" w:lineRule="auto"/>
        <w:ind w:firstLine="480" w:firstLineChars="200"/>
        <w:rPr>
          <w:rFonts w:ascii="宋体" w:hAnsi="宋体"/>
          <w:color w:val="auto"/>
          <w:sz w:val="24"/>
        </w:rPr>
      </w:pPr>
      <w:r>
        <w:rPr>
          <w:rFonts w:hint="eastAsia" w:ascii="宋体" w:hAnsi="宋体"/>
          <w:color w:val="auto"/>
          <w:sz w:val="24"/>
        </w:rPr>
        <w:t>(6)询价响应文件内容与询价通知书内容及要求有重大偏离或保留的；</w:t>
      </w:r>
    </w:p>
    <w:p>
      <w:pPr>
        <w:spacing w:line="360" w:lineRule="auto"/>
        <w:ind w:firstLine="480" w:firstLineChars="200"/>
        <w:rPr>
          <w:rFonts w:ascii="宋体" w:hAnsi="宋体"/>
          <w:color w:val="auto"/>
          <w:sz w:val="24"/>
        </w:rPr>
      </w:pPr>
      <w:r>
        <w:rPr>
          <w:rFonts w:hint="eastAsia" w:ascii="宋体" w:hAnsi="宋体"/>
          <w:color w:val="auto"/>
          <w:sz w:val="24"/>
        </w:rPr>
        <w:t>(7)询价供应商提交的是可选择的报价；</w:t>
      </w:r>
    </w:p>
    <w:p>
      <w:pPr>
        <w:spacing w:line="360" w:lineRule="auto"/>
        <w:ind w:firstLine="480" w:firstLineChars="200"/>
        <w:rPr>
          <w:rFonts w:ascii="宋体" w:hAnsi="宋体"/>
          <w:color w:val="auto"/>
          <w:sz w:val="24"/>
        </w:rPr>
      </w:pPr>
      <w:r>
        <w:rPr>
          <w:rFonts w:hint="eastAsia" w:ascii="宋体" w:hAnsi="宋体"/>
          <w:color w:val="auto"/>
          <w:sz w:val="24"/>
        </w:rPr>
        <w:t>(8)询价响应文件组成不符合询价通知书要求的；</w:t>
      </w:r>
    </w:p>
    <w:p>
      <w:pPr>
        <w:spacing w:line="360" w:lineRule="auto"/>
        <w:ind w:firstLine="480" w:firstLineChars="200"/>
        <w:rPr>
          <w:rFonts w:ascii="宋体" w:hAnsi="宋体"/>
          <w:color w:val="auto"/>
          <w:sz w:val="24"/>
        </w:rPr>
      </w:pPr>
      <w:r>
        <w:rPr>
          <w:rFonts w:hint="eastAsia" w:ascii="宋体" w:hAnsi="宋体"/>
          <w:color w:val="auto"/>
          <w:sz w:val="24"/>
        </w:rPr>
        <w:t>(9)递交的《响应函》、《法定代表人授权书》内容与本询价通知书格式内容存在实质性差别的；</w:t>
      </w:r>
    </w:p>
    <w:p>
      <w:pPr>
        <w:spacing w:line="360" w:lineRule="auto"/>
        <w:ind w:firstLine="480" w:firstLineChars="200"/>
        <w:rPr>
          <w:rFonts w:ascii="宋体" w:hAnsi="宋体"/>
          <w:color w:val="auto"/>
          <w:sz w:val="24"/>
        </w:rPr>
      </w:pPr>
      <w:r>
        <w:rPr>
          <w:rFonts w:hint="eastAsia" w:ascii="宋体" w:hAnsi="宋体"/>
          <w:color w:val="auto"/>
          <w:sz w:val="24"/>
        </w:rPr>
        <w:t>(10)询价响应报价有漏（缺）报项，询价供应商不同意按照询价通知书规定处理的；</w:t>
      </w:r>
    </w:p>
    <w:p>
      <w:pPr>
        <w:spacing w:line="360" w:lineRule="auto"/>
        <w:ind w:firstLine="480" w:firstLineChars="200"/>
        <w:rPr>
          <w:rFonts w:ascii="宋体" w:hAnsi="宋体"/>
          <w:color w:val="auto"/>
          <w:sz w:val="24"/>
        </w:rPr>
      </w:pPr>
      <w:r>
        <w:rPr>
          <w:rFonts w:hint="eastAsia" w:ascii="宋体" w:hAnsi="宋体"/>
          <w:color w:val="auto"/>
          <w:sz w:val="24"/>
        </w:rPr>
        <w:t>(11)询价响应文件内容关键字迹模糊，无法辨认的；</w:t>
      </w:r>
    </w:p>
    <w:p>
      <w:pPr>
        <w:spacing w:line="360" w:lineRule="auto"/>
        <w:ind w:firstLine="480" w:firstLineChars="200"/>
        <w:rPr>
          <w:rFonts w:ascii="宋体" w:hAnsi="宋体"/>
          <w:color w:val="auto"/>
          <w:sz w:val="24"/>
        </w:rPr>
      </w:pPr>
      <w:r>
        <w:rPr>
          <w:rFonts w:hint="eastAsia" w:ascii="宋体" w:hAnsi="宋体"/>
          <w:color w:val="auto"/>
          <w:sz w:val="24"/>
        </w:rPr>
        <w:t>(12)反映询价响应文件个性特征的内容出现明显雷同的；</w:t>
      </w:r>
    </w:p>
    <w:p>
      <w:pPr>
        <w:spacing w:line="360" w:lineRule="auto"/>
        <w:ind w:firstLine="480" w:firstLineChars="200"/>
        <w:rPr>
          <w:rFonts w:ascii="宋体" w:hAnsi="宋体"/>
          <w:color w:val="auto"/>
          <w:sz w:val="24"/>
        </w:rPr>
      </w:pPr>
      <w:r>
        <w:rPr>
          <w:rFonts w:hint="eastAsia" w:ascii="宋体" w:hAnsi="宋体"/>
          <w:color w:val="auto"/>
          <w:sz w:val="24"/>
        </w:rPr>
        <w:t>(13)询价供应商投报总价超过预算单价或预算总价的；</w:t>
      </w:r>
    </w:p>
    <w:p>
      <w:pPr>
        <w:spacing w:line="360" w:lineRule="auto"/>
        <w:ind w:firstLine="480" w:firstLineChars="200"/>
        <w:rPr>
          <w:rFonts w:ascii="宋体" w:hAnsi="宋体"/>
          <w:color w:val="auto"/>
          <w:sz w:val="24"/>
        </w:rPr>
      </w:pPr>
      <w:r>
        <w:rPr>
          <w:rFonts w:hint="eastAsia" w:ascii="宋体" w:hAnsi="宋体"/>
          <w:color w:val="auto"/>
          <w:sz w:val="24"/>
        </w:rPr>
        <w:t xml:space="preserve">(14)不符合询价通知书中规定的其它实质性条款。 </w:t>
      </w:r>
    </w:p>
    <w:p>
      <w:pPr>
        <w:spacing w:line="360" w:lineRule="auto"/>
        <w:ind w:firstLine="480" w:firstLineChars="200"/>
        <w:rPr>
          <w:rFonts w:ascii="宋体" w:hAnsi="宋体"/>
          <w:color w:val="auto"/>
          <w:sz w:val="24"/>
        </w:rPr>
      </w:pPr>
      <w:r>
        <w:rPr>
          <w:rFonts w:hint="eastAsia" w:ascii="宋体" w:hAnsi="宋体"/>
          <w:color w:val="auto"/>
          <w:sz w:val="24"/>
        </w:rPr>
        <w:t>询价小组决定询价的响应性只根据询价响应文件本身的内容，而不寻求其他的外部证据。</w:t>
      </w:r>
    </w:p>
    <w:p>
      <w:pPr>
        <w:spacing w:line="360" w:lineRule="auto"/>
        <w:ind w:firstLine="480" w:firstLineChars="200"/>
        <w:rPr>
          <w:rFonts w:ascii="宋体" w:hAnsi="宋体"/>
          <w:color w:val="auto"/>
          <w:sz w:val="24"/>
          <w:szCs w:val="18"/>
        </w:rPr>
      </w:pPr>
      <w:r>
        <w:rPr>
          <w:rFonts w:hint="eastAsia" w:ascii="宋体" w:hAnsi="宋体"/>
          <w:color w:val="auto"/>
          <w:sz w:val="24"/>
        </w:rPr>
        <w:t>18.</w:t>
      </w:r>
      <w:r>
        <w:rPr>
          <w:rFonts w:hint="eastAsia" w:ascii="宋体" w:hAnsi="宋体"/>
          <w:color w:val="auto"/>
          <w:sz w:val="24"/>
          <w:szCs w:val="18"/>
        </w:rPr>
        <w:t xml:space="preserve">询价响应文件的澄清 </w:t>
      </w:r>
    </w:p>
    <w:p>
      <w:pPr>
        <w:spacing w:line="360" w:lineRule="auto"/>
        <w:ind w:firstLine="480" w:firstLineChars="200"/>
        <w:rPr>
          <w:rFonts w:ascii="宋体" w:hAnsi="宋体"/>
          <w:color w:val="auto"/>
          <w:sz w:val="24"/>
          <w:szCs w:val="18"/>
        </w:rPr>
      </w:pPr>
      <w:r>
        <w:rPr>
          <w:rFonts w:hint="eastAsia" w:ascii="宋体" w:hAnsi="宋体"/>
          <w:color w:val="auto"/>
          <w:sz w:val="24"/>
          <w:szCs w:val="18"/>
        </w:rPr>
        <w:t>18.1 对询价响应文件中含义不明确、同类问题表述不一致或者有明显文字和计算错误的内容，询价小组可以书面形式要求询价供应商作出必要的澄清、说明或者更正。询价供应商的澄清、说明或者更正应当在询价小组规定的时间内以书面形式作出，由其法定代表人或者授权代表签字，并不得超出询价响应文件的范围或者改变询价响应文件的实质性内容。</w:t>
      </w:r>
    </w:p>
    <w:p>
      <w:pPr>
        <w:spacing w:line="360" w:lineRule="auto"/>
        <w:ind w:firstLine="480" w:firstLineChars="200"/>
        <w:rPr>
          <w:rFonts w:ascii="宋体" w:hAnsi="宋体"/>
          <w:color w:val="auto"/>
          <w:sz w:val="24"/>
          <w:szCs w:val="18"/>
        </w:rPr>
      </w:pPr>
      <w:r>
        <w:rPr>
          <w:rFonts w:hint="eastAsia" w:ascii="宋体" w:hAnsi="宋体"/>
          <w:color w:val="auto"/>
          <w:sz w:val="24"/>
          <w:szCs w:val="18"/>
        </w:rPr>
        <w:t>19. 比较与评价</w:t>
      </w:r>
    </w:p>
    <w:p>
      <w:pPr>
        <w:widowControl/>
        <w:snapToGrid w:val="0"/>
        <w:spacing w:line="360" w:lineRule="auto"/>
        <w:ind w:firstLine="480" w:firstLineChars="200"/>
        <w:jc w:val="left"/>
        <w:rPr>
          <w:rFonts w:ascii="宋体" w:hAnsi="宋体"/>
          <w:color w:val="auto"/>
          <w:sz w:val="24"/>
          <w:szCs w:val="18"/>
        </w:rPr>
      </w:pPr>
      <w:r>
        <w:rPr>
          <w:rFonts w:hint="eastAsia" w:ascii="宋体" w:hAnsi="宋体"/>
          <w:color w:val="auto"/>
          <w:sz w:val="24"/>
          <w:szCs w:val="18"/>
        </w:rPr>
        <w:t>19.1询价小组</w:t>
      </w:r>
      <w:r>
        <w:rPr>
          <w:rFonts w:ascii="宋体" w:hAnsi="宋体"/>
          <w:color w:val="auto"/>
          <w:sz w:val="24"/>
          <w:szCs w:val="18"/>
        </w:rPr>
        <w:t>首先进行资格性与符合性审查，其次再进行报价部分的评审，最终按照</w:t>
      </w:r>
      <w:r>
        <w:rPr>
          <w:rFonts w:hint="eastAsia" w:ascii="宋体" w:hAnsi="宋体"/>
          <w:color w:val="auto"/>
          <w:sz w:val="24"/>
          <w:szCs w:val="18"/>
        </w:rPr>
        <w:t>须知前附表第6项所述评审方法与标准</w:t>
      </w:r>
      <w:r>
        <w:rPr>
          <w:rFonts w:ascii="宋体" w:hAnsi="宋体"/>
          <w:color w:val="auto"/>
          <w:sz w:val="24"/>
          <w:szCs w:val="18"/>
        </w:rPr>
        <w:t>推荐成交候选人</w:t>
      </w:r>
    </w:p>
    <w:p>
      <w:pPr>
        <w:spacing w:line="360" w:lineRule="auto"/>
        <w:ind w:firstLine="480" w:firstLineChars="200"/>
        <w:rPr>
          <w:rFonts w:ascii="宋体" w:hAnsi="宋体"/>
          <w:color w:val="auto"/>
          <w:sz w:val="24"/>
        </w:rPr>
      </w:pPr>
      <w:r>
        <w:rPr>
          <w:rFonts w:hint="eastAsia" w:ascii="宋体" w:hAnsi="宋体"/>
          <w:color w:val="auto"/>
          <w:sz w:val="24"/>
        </w:rPr>
        <w:t>19</w:t>
      </w:r>
      <w:r>
        <w:rPr>
          <w:rFonts w:ascii="宋体" w:hAnsi="宋体"/>
          <w:color w:val="auto"/>
          <w:sz w:val="24"/>
        </w:rPr>
        <w:t>.2评审程序</w:t>
      </w:r>
    </w:p>
    <w:p>
      <w:pPr>
        <w:spacing w:line="360" w:lineRule="auto"/>
        <w:ind w:firstLine="480" w:firstLineChars="200"/>
        <w:rPr>
          <w:rFonts w:ascii="宋体" w:hAnsi="宋体"/>
          <w:color w:val="auto"/>
          <w:sz w:val="24"/>
        </w:rPr>
      </w:pPr>
      <w:r>
        <w:rPr>
          <w:rFonts w:hint="eastAsia" w:ascii="宋体" w:hAnsi="宋体"/>
          <w:color w:val="auto"/>
          <w:sz w:val="24"/>
        </w:rPr>
        <w:t>19</w:t>
      </w:r>
      <w:r>
        <w:rPr>
          <w:rFonts w:ascii="宋体" w:hAnsi="宋体"/>
          <w:color w:val="auto"/>
          <w:sz w:val="24"/>
        </w:rPr>
        <w:t>.2.1</w:t>
      </w:r>
      <w:r>
        <w:rPr>
          <w:rFonts w:ascii="宋体" w:hAnsi="宋体"/>
          <w:b/>
          <w:bCs/>
          <w:color w:val="auto"/>
          <w:sz w:val="24"/>
        </w:rPr>
        <w:t>评审前的准备工作</w:t>
      </w:r>
    </w:p>
    <w:p>
      <w:pPr>
        <w:spacing w:line="360" w:lineRule="auto"/>
        <w:ind w:firstLine="480" w:firstLineChars="200"/>
        <w:rPr>
          <w:rFonts w:ascii="宋体" w:hAnsi="宋体"/>
          <w:color w:val="auto"/>
          <w:sz w:val="24"/>
        </w:rPr>
      </w:pPr>
      <w:r>
        <w:rPr>
          <w:rFonts w:ascii="宋体" w:hAnsi="宋体"/>
          <w:color w:val="auto"/>
          <w:sz w:val="24"/>
        </w:rPr>
        <w:t>（1）全体评委应认真审阅询价通知书，了解评委应履行或遵守的职责、义务和评审纪律，并对询价通知书进行确认。</w:t>
      </w:r>
    </w:p>
    <w:p>
      <w:pPr>
        <w:spacing w:line="360" w:lineRule="auto"/>
        <w:ind w:firstLine="480" w:firstLineChars="200"/>
        <w:rPr>
          <w:rFonts w:ascii="宋体" w:hAnsi="宋体"/>
          <w:color w:val="auto"/>
          <w:sz w:val="24"/>
        </w:rPr>
      </w:pPr>
      <w:r>
        <w:rPr>
          <w:rFonts w:ascii="宋体" w:hAnsi="宋体"/>
          <w:color w:val="auto"/>
          <w:sz w:val="24"/>
        </w:rPr>
        <w:t>（2）参加询价小组的采购人代表可对本项目的背景和采购需求进行介绍，介绍材料应以书面形式提交（随采购文件一并存档），介绍内容不得含有歧视性、倾向性意见，不得超出询价通知书所述范围。</w:t>
      </w:r>
    </w:p>
    <w:p>
      <w:pPr>
        <w:spacing w:line="360" w:lineRule="auto"/>
        <w:ind w:firstLine="480" w:firstLineChars="200"/>
        <w:rPr>
          <w:rFonts w:ascii="宋体" w:hAnsi="宋体"/>
          <w:color w:val="auto"/>
          <w:sz w:val="24"/>
        </w:rPr>
      </w:pPr>
      <w:r>
        <w:rPr>
          <w:rFonts w:hint="eastAsia" w:ascii="宋体" w:hAnsi="宋体"/>
          <w:color w:val="auto"/>
          <w:sz w:val="24"/>
        </w:rPr>
        <w:t>19</w:t>
      </w:r>
      <w:r>
        <w:rPr>
          <w:rFonts w:ascii="宋体" w:hAnsi="宋体"/>
          <w:color w:val="auto"/>
          <w:sz w:val="24"/>
        </w:rPr>
        <w:t>.2.2</w:t>
      </w:r>
      <w:r>
        <w:rPr>
          <w:rFonts w:ascii="宋体" w:hAnsi="宋体"/>
          <w:b/>
          <w:bCs/>
          <w:color w:val="auto"/>
          <w:sz w:val="24"/>
        </w:rPr>
        <w:t>资格性审查</w:t>
      </w:r>
    </w:p>
    <w:p>
      <w:pPr>
        <w:spacing w:line="360" w:lineRule="auto"/>
        <w:ind w:firstLine="480" w:firstLineChars="200"/>
        <w:rPr>
          <w:rFonts w:ascii="宋体" w:hAnsi="宋体"/>
          <w:color w:val="auto"/>
          <w:sz w:val="24"/>
        </w:rPr>
      </w:pPr>
      <w:r>
        <w:rPr>
          <w:rFonts w:ascii="宋体" w:hAnsi="宋体"/>
          <w:color w:val="auto"/>
          <w:sz w:val="24"/>
        </w:rPr>
        <w:t>询价小组将根据询价通知书，对供应商提供的资格证明材料进行审查。有任一项资格证明材料不满足资格条件的，视为</w:t>
      </w:r>
      <w:r>
        <w:rPr>
          <w:rFonts w:ascii="宋体" w:hAnsi="宋体"/>
          <w:b/>
          <w:bCs/>
          <w:color w:val="auto"/>
          <w:sz w:val="24"/>
        </w:rPr>
        <w:t>无效响应</w:t>
      </w:r>
      <w:r>
        <w:rPr>
          <w:rFonts w:ascii="宋体" w:hAnsi="宋体"/>
          <w:color w:val="auto"/>
          <w:sz w:val="24"/>
        </w:rPr>
        <w:t>。若供应商为联合体的，询价小组对联合体各方资格证明文件及联合体协议进行审查，不满足资格条件的，视为</w:t>
      </w:r>
      <w:r>
        <w:rPr>
          <w:rFonts w:ascii="宋体" w:hAnsi="宋体"/>
          <w:b/>
          <w:bCs/>
          <w:color w:val="auto"/>
          <w:sz w:val="24"/>
        </w:rPr>
        <w:t>无效响应</w:t>
      </w:r>
      <w:r>
        <w:rPr>
          <w:rFonts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19</w:t>
      </w:r>
      <w:r>
        <w:rPr>
          <w:rFonts w:ascii="宋体" w:hAnsi="宋体"/>
          <w:color w:val="auto"/>
          <w:sz w:val="24"/>
        </w:rPr>
        <w:t>.2.3</w:t>
      </w:r>
      <w:r>
        <w:rPr>
          <w:rFonts w:ascii="宋体" w:hAnsi="宋体"/>
          <w:b/>
          <w:bCs/>
          <w:color w:val="auto"/>
          <w:sz w:val="24"/>
        </w:rPr>
        <w:t>符合性审查</w:t>
      </w:r>
    </w:p>
    <w:p>
      <w:pPr>
        <w:spacing w:line="360" w:lineRule="auto"/>
        <w:ind w:firstLine="480" w:firstLineChars="200"/>
        <w:rPr>
          <w:rFonts w:ascii="宋体" w:hAnsi="宋体"/>
          <w:color w:val="auto"/>
          <w:sz w:val="24"/>
        </w:rPr>
      </w:pPr>
      <w:r>
        <w:rPr>
          <w:rFonts w:ascii="宋体" w:hAnsi="宋体"/>
          <w:color w:val="auto"/>
          <w:sz w:val="24"/>
        </w:rPr>
        <w:t>有效性、完整性审查。有下列情形之一的，符合性审查不合格，</w:t>
      </w:r>
      <w:r>
        <w:rPr>
          <w:rFonts w:ascii="宋体" w:hAnsi="宋体"/>
          <w:b/>
          <w:bCs/>
          <w:color w:val="auto"/>
          <w:sz w:val="24"/>
        </w:rPr>
        <w:t>响应文件无效</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（1）一般情形</w:t>
      </w:r>
    </w:p>
    <w:p>
      <w:pPr>
        <w:spacing w:line="360" w:lineRule="auto"/>
        <w:ind w:firstLine="480" w:firstLineChars="200"/>
        <w:rPr>
          <w:rFonts w:ascii="宋体" w:hAnsi="宋体"/>
          <w:color w:val="auto"/>
          <w:sz w:val="24"/>
        </w:rPr>
      </w:pPr>
      <w:r>
        <w:rPr>
          <w:rFonts w:hint="eastAsia" w:ascii="宋体" w:hAnsi="宋体"/>
          <w:color w:val="auto"/>
          <w:sz w:val="24"/>
        </w:rPr>
        <w:t>①</w:t>
      </w:r>
      <w:r>
        <w:rPr>
          <w:rFonts w:ascii="宋体" w:hAnsi="宋体"/>
          <w:color w:val="auto"/>
          <w:sz w:val="24"/>
        </w:rPr>
        <w:t>未按照询价通知书规定提交询价响应声明的；</w:t>
      </w:r>
    </w:p>
    <w:p>
      <w:pPr>
        <w:spacing w:line="360" w:lineRule="auto"/>
        <w:ind w:firstLine="480" w:firstLineChars="200"/>
        <w:rPr>
          <w:rFonts w:ascii="宋体" w:hAnsi="宋体"/>
          <w:color w:val="auto"/>
          <w:sz w:val="24"/>
        </w:rPr>
      </w:pPr>
      <w:r>
        <w:rPr>
          <w:rFonts w:hint="eastAsia" w:ascii="宋体" w:hAnsi="宋体"/>
          <w:color w:val="auto"/>
          <w:sz w:val="24"/>
        </w:rPr>
        <w:t>②</w:t>
      </w:r>
      <w:r>
        <w:rPr>
          <w:rFonts w:ascii="宋体" w:hAnsi="宋体"/>
          <w:color w:val="auto"/>
          <w:sz w:val="24"/>
        </w:rPr>
        <w:t>未按照询价通知书规定提交询价保证金的；</w:t>
      </w:r>
    </w:p>
    <w:p>
      <w:pPr>
        <w:spacing w:line="360" w:lineRule="auto"/>
        <w:ind w:firstLine="480" w:firstLineChars="200"/>
        <w:rPr>
          <w:rFonts w:ascii="宋体" w:hAnsi="宋体"/>
          <w:color w:val="auto"/>
          <w:sz w:val="24"/>
        </w:rPr>
      </w:pPr>
      <w:r>
        <w:rPr>
          <w:rFonts w:hint="eastAsia" w:ascii="宋体" w:hAnsi="宋体"/>
          <w:color w:val="auto"/>
          <w:sz w:val="24"/>
        </w:rPr>
        <w:t>③</w:t>
      </w:r>
      <w:r>
        <w:rPr>
          <w:rFonts w:ascii="宋体" w:hAnsi="宋体"/>
          <w:color w:val="auto"/>
          <w:sz w:val="24"/>
        </w:rPr>
        <w:t>响应文件有效期不足的； </w:t>
      </w:r>
    </w:p>
    <w:p>
      <w:pPr>
        <w:spacing w:line="360" w:lineRule="auto"/>
        <w:ind w:firstLine="480" w:firstLineChars="200"/>
        <w:rPr>
          <w:rFonts w:ascii="宋体" w:hAnsi="宋体"/>
          <w:color w:val="auto"/>
          <w:sz w:val="24"/>
        </w:rPr>
      </w:pPr>
      <w:r>
        <w:rPr>
          <w:rFonts w:hint="eastAsia" w:ascii="宋体" w:hAnsi="宋体"/>
          <w:color w:val="auto"/>
          <w:sz w:val="24"/>
        </w:rPr>
        <w:t>④</w:t>
      </w:r>
      <w:r>
        <w:rPr>
          <w:rFonts w:ascii="宋体" w:hAnsi="宋体"/>
          <w:color w:val="auto"/>
          <w:sz w:val="24"/>
        </w:rPr>
        <w:t>本项目规定的其他情形：</w:t>
      </w:r>
    </w:p>
    <w:p>
      <w:pPr>
        <w:spacing w:line="360" w:lineRule="auto"/>
        <w:ind w:firstLine="480" w:firstLineChars="200"/>
        <w:rPr>
          <w:rFonts w:ascii="宋体" w:hAnsi="宋体"/>
          <w:color w:val="auto"/>
          <w:sz w:val="24"/>
        </w:rPr>
      </w:pPr>
      <w:r>
        <w:rPr>
          <w:rFonts w:hint="eastAsia" w:ascii="宋体" w:hAnsi="宋体"/>
          <w:color w:val="auto"/>
          <w:sz w:val="24"/>
        </w:rPr>
        <w:t>19</w:t>
      </w:r>
      <w:r>
        <w:rPr>
          <w:rFonts w:ascii="宋体" w:hAnsi="宋体"/>
          <w:color w:val="auto"/>
          <w:sz w:val="24"/>
        </w:rPr>
        <w:t>.2.4</w:t>
      </w:r>
      <w:r>
        <w:rPr>
          <w:rFonts w:ascii="宋体" w:hAnsi="宋体"/>
          <w:b/>
          <w:bCs/>
          <w:color w:val="auto"/>
          <w:sz w:val="24"/>
        </w:rPr>
        <w:t>响应程度审查</w:t>
      </w:r>
    </w:p>
    <w:p>
      <w:pPr>
        <w:spacing w:line="360" w:lineRule="auto"/>
        <w:ind w:firstLine="480" w:firstLineChars="200"/>
        <w:rPr>
          <w:rFonts w:ascii="宋体" w:hAnsi="宋体"/>
          <w:color w:val="auto"/>
          <w:sz w:val="24"/>
        </w:rPr>
      </w:pPr>
      <w:r>
        <w:rPr>
          <w:rFonts w:ascii="宋体" w:hAnsi="宋体"/>
          <w:color w:val="auto"/>
          <w:sz w:val="24"/>
        </w:rPr>
        <w:t>（1）审查响应文件是否与询价通知书要求的实质性条款、条件和规格相符。</w:t>
      </w:r>
    </w:p>
    <w:p>
      <w:pPr>
        <w:spacing w:line="360" w:lineRule="auto"/>
        <w:ind w:firstLine="480" w:firstLineChars="200"/>
        <w:rPr>
          <w:rFonts w:ascii="宋体" w:hAnsi="宋体"/>
          <w:color w:val="auto"/>
          <w:sz w:val="24"/>
        </w:rPr>
      </w:pPr>
      <w:r>
        <w:rPr>
          <w:rFonts w:ascii="宋体" w:hAnsi="宋体"/>
          <w:color w:val="auto"/>
          <w:sz w:val="24"/>
        </w:rPr>
        <w:t>（2）响应文件是否实质性响应询价通知书，由询价小组依据询价通知书规定和响应文件内容认定。有任一项实质性要求条款偏离的，视为</w:t>
      </w:r>
      <w:r>
        <w:rPr>
          <w:rFonts w:ascii="宋体" w:hAnsi="宋体"/>
          <w:b/>
          <w:bCs/>
          <w:color w:val="auto"/>
          <w:sz w:val="24"/>
        </w:rPr>
        <w:t>无效响应</w:t>
      </w:r>
      <w:r>
        <w:rPr>
          <w:rFonts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19.3  对漏（缺）报项的处理：询价通知书中要求列入报价的费用（含配置、功能），漏（缺）报的视同已含在投报总价中。但在评审时取有效询价供应商该项最高报价加入投报总价中计算评审价格。对多报项及赠送项的价格评审时不予核减，全部进入评审价评议。</w:t>
      </w:r>
    </w:p>
    <w:p>
      <w:pPr>
        <w:spacing w:line="360" w:lineRule="auto"/>
        <w:ind w:firstLine="480" w:firstLineChars="200"/>
        <w:rPr>
          <w:rFonts w:ascii="宋体" w:hAnsi="宋体"/>
          <w:color w:val="auto"/>
          <w:sz w:val="24"/>
        </w:rPr>
      </w:pPr>
      <w:r>
        <w:rPr>
          <w:rFonts w:hint="eastAsia" w:ascii="宋体" w:hAnsi="宋体"/>
          <w:color w:val="auto"/>
          <w:sz w:val="24"/>
        </w:rPr>
        <w:t xml:space="preserve"> 19.4</w:t>
      </w:r>
      <w:r>
        <w:rPr>
          <w:rFonts w:ascii="宋体" w:hAnsi="宋体"/>
          <w:color w:val="auto"/>
          <w:sz w:val="24"/>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r>
        <w:rPr>
          <w:rFonts w:hint="eastAsia" w:ascii="宋体" w:hAnsi="宋体"/>
          <w:color w:val="auto"/>
          <w:sz w:val="24"/>
        </w:rPr>
        <w:t>。</w:t>
      </w:r>
    </w:p>
    <w:p>
      <w:pPr>
        <w:spacing w:line="360" w:lineRule="auto"/>
        <w:ind w:firstLine="482" w:firstLineChars="200"/>
        <w:rPr>
          <w:rFonts w:ascii="黑体" w:hAnsi="宋体" w:eastAsia="黑体"/>
          <w:b/>
          <w:color w:val="auto"/>
          <w:sz w:val="24"/>
        </w:rPr>
      </w:pPr>
      <w:r>
        <w:rPr>
          <w:rFonts w:hint="eastAsia" w:ascii="黑体" w:hAnsi="宋体" w:eastAsia="黑体"/>
          <w:b/>
          <w:color w:val="auto"/>
          <w:sz w:val="24"/>
        </w:rPr>
        <w:t>19.5</w:t>
      </w:r>
      <w:r>
        <w:rPr>
          <w:rFonts w:hint="eastAsia" w:ascii="黑体" w:hAnsi="宋体" w:eastAsia="黑体" w:cs="Tahoma"/>
          <w:b/>
          <w:color w:val="auto"/>
          <w:kern w:val="0"/>
          <w:sz w:val="24"/>
        </w:rPr>
        <w:t>询价小组在评审过程中发现询价供应商存在下列情形之一的，可认定其有串通参加询价行为，并做出其询价响应文件无效的决定：</w:t>
      </w:r>
    </w:p>
    <w:p>
      <w:pPr>
        <w:widowControl/>
        <w:spacing w:line="360" w:lineRule="auto"/>
        <w:ind w:firstLine="480" w:firstLineChars="200"/>
        <w:rPr>
          <w:rFonts w:ascii="宋体" w:hAnsi="宋体"/>
          <w:color w:val="auto"/>
          <w:kern w:val="0"/>
          <w:sz w:val="24"/>
        </w:rPr>
      </w:pPr>
      <w:r>
        <w:rPr>
          <w:rFonts w:hint="eastAsia" w:ascii="宋体" w:hAnsi="宋体"/>
          <w:color w:val="auto"/>
          <w:kern w:val="0"/>
          <w:sz w:val="24"/>
        </w:rPr>
        <w:t>（1）不同询价供应商的询价响应文件错、漏之处一致或雷同，且不能合理解释的；</w:t>
      </w:r>
    </w:p>
    <w:p>
      <w:pPr>
        <w:widowControl/>
        <w:spacing w:line="360" w:lineRule="auto"/>
        <w:ind w:firstLine="480" w:firstLineChars="200"/>
        <w:rPr>
          <w:rFonts w:ascii="宋体" w:hAnsi="宋体"/>
          <w:color w:val="auto"/>
          <w:kern w:val="0"/>
          <w:sz w:val="24"/>
        </w:rPr>
      </w:pPr>
      <w:r>
        <w:rPr>
          <w:rFonts w:hint="eastAsia" w:ascii="宋体" w:hAnsi="宋体"/>
          <w:color w:val="auto"/>
          <w:kern w:val="0"/>
          <w:sz w:val="24"/>
        </w:rPr>
        <w:t>（2）不同的询价供应商的法定代表人、委托代理人等由同一个单位缴纳社会保险的；</w:t>
      </w:r>
    </w:p>
    <w:p>
      <w:pPr>
        <w:widowControl/>
        <w:spacing w:line="360" w:lineRule="auto"/>
        <w:ind w:firstLine="480" w:firstLineChars="200"/>
        <w:rPr>
          <w:rFonts w:ascii="宋体" w:hAnsi="宋体" w:cs="Tahoma"/>
          <w:color w:val="auto"/>
          <w:kern w:val="0"/>
          <w:sz w:val="24"/>
        </w:rPr>
      </w:pPr>
      <w:r>
        <w:rPr>
          <w:rFonts w:hint="eastAsia" w:ascii="宋体" w:hAnsi="宋体"/>
          <w:color w:val="auto"/>
          <w:kern w:val="0"/>
          <w:sz w:val="24"/>
        </w:rPr>
        <w:t>（3）由同一人或分别由几个有利害关系人携带两个以上（含两个）询价供应商的企业</w:t>
      </w:r>
      <w:r>
        <w:rPr>
          <w:rFonts w:hint="eastAsia" w:ascii="宋体" w:hAnsi="宋体" w:cs="Tahoma"/>
          <w:color w:val="auto"/>
          <w:kern w:val="0"/>
          <w:sz w:val="24"/>
        </w:rPr>
        <w:t>资料参与资格审查、领取询价资料，或代表两个以上（含两个）询价供应商参加答疑会、采购会、交纳或退还询价保证金的；</w:t>
      </w:r>
    </w:p>
    <w:p>
      <w:pPr>
        <w:pStyle w:val="90"/>
        <w:ind w:firstLine="480"/>
        <w:rPr>
          <w:rFonts w:ascii="宋体" w:hAnsi="宋体"/>
          <w:color w:val="auto"/>
          <w:kern w:val="0"/>
        </w:rPr>
      </w:pPr>
      <w:r>
        <w:rPr>
          <w:rFonts w:hint="eastAsia" w:ascii="宋体" w:hAnsi="宋体"/>
          <w:color w:val="auto"/>
          <w:kern w:val="0"/>
        </w:rPr>
        <w:t>（4）不同</w:t>
      </w:r>
      <w:r>
        <w:rPr>
          <w:rFonts w:hint="eastAsia" w:ascii="宋体" w:hAnsi="宋体" w:cs="Tahoma"/>
          <w:color w:val="auto"/>
          <w:kern w:val="0"/>
        </w:rPr>
        <w:t>询价供应商</w:t>
      </w:r>
      <w:r>
        <w:rPr>
          <w:rFonts w:hint="eastAsia" w:ascii="宋体" w:hAnsi="宋体"/>
          <w:color w:val="auto"/>
          <w:kern w:val="0"/>
        </w:rPr>
        <w:t>的询价文件由同一单位或者个人编制；</w:t>
      </w:r>
    </w:p>
    <w:p>
      <w:pPr>
        <w:pStyle w:val="90"/>
        <w:ind w:firstLine="480"/>
        <w:rPr>
          <w:rFonts w:ascii="宋体" w:hAnsi="宋体"/>
          <w:color w:val="auto"/>
          <w:kern w:val="0"/>
        </w:rPr>
      </w:pPr>
      <w:r>
        <w:rPr>
          <w:rFonts w:hint="eastAsia" w:ascii="宋体" w:hAnsi="宋体"/>
          <w:color w:val="auto"/>
          <w:kern w:val="0"/>
        </w:rPr>
        <w:t>（5）不同</w:t>
      </w:r>
      <w:r>
        <w:rPr>
          <w:rFonts w:hint="eastAsia" w:ascii="宋体" w:hAnsi="宋体" w:cs="Tahoma"/>
          <w:color w:val="auto"/>
          <w:kern w:val="0"/>
        </w:rPr>
        <w:t>询价供应商</w:t>
      </w:r>
      <w:r>
        <w:rPr>
          <w:rFonts w:hint="eastAsia" w:ascii="宋体" w:hAnsi="宋体"/>
          <w:color w:val="auto"/>
          <w:kern w:val="0"/>
        </w:rPr>
        <w:t>委托同一单位或者个人办理询价事宜；</w:t>
      </w:r>
    </w:p>
    <w:p>
      <w:pPr>
        <w:pStyle w:val="90"/>
        <w:ind w:firstLine="480"/>
        <w:rPr>
          <w:rFonts w:ascii="宋体" w:hAnsi="宋体"/>
          <w:color w:val="auto"/>
          <w:kern w:val="0"/>
        </w:rPr>
      </w:pPr>
      <w:r>
        <w:rPr>
          <w:rFonts w:hint="eastAsia" w:ascii="宋体" w:hAnsi="宋体"/>
          <w:color w:val="auto"/>
          <w:kern w:val="0"/>
        </w:rPr>
        <w:t>（6）不同</w:t>
      </w:r>
      <w:r>
        <w:rPr>
          <w:rFonts w:hint="eastAsia" w:ascii="宋体" w:hAnsi="宋体" w:cs="Tahoma"/>
          <w:color w:val="auto"/>
          <w:kern w:val="0"/>
        </w:rPr>
        <w:t>询价供应商</w:t>
      </w:r>
      <w:r>
        <w:rPr>
          <w:rFonts w:hint="eastAsia" w:ascii="宋体" w:hAnsi="宋体"/>
          <w:color w:val="auto"/>
          <w:kern w:val="0"/>
        </w:rPr>
        <w:t>的询价文件载明的项目管理成员为同一人；</w:t>
      </w:r>
    </w:p>
    <w:p>
      <w:pPr>
        <w:pStyle w:val="90"/>
        <w:ind w:firstLine="480"/>
        <w:rPr>
          <w:rFonts w:ascii="宋体" w:hAnsi="宋体"/>
          <w:color w:val="auto"/>
          <w:kern w:val="0"/>
        </w:rPr>
      </w:pPr>
      <w:r>
        <w:rPr>
          <w:rFonts w:hint="eastAsia" w:ascii="宋体" w:hAnsi="宋体"/>
          <w:color w:val="auto"/>
          <w:kern w:val="0"/>
        </w:rPr>
        <w:t>（7）不同</w:t>
      </w:r>
      <w:r>
        <w:rPr>
          <w:rFonts w:hint="eastAsia" w:ascii="宋体" w:hAnsi="宋体" w:cs="Tahoma"/>
          <w:color w:val="auto"/>
          <w:kern w:val="0"/>
        </w:rPr>
        <w:t>询价供应商</w:t>
      </w:r>
      <w:r>
        <w:rPr>
          <w:rFonts w:hint="eastAsia" w:ascii="宋体" w:hAnsi="宋体"/>
          <w:color w:val="auto"/>
          <w:kern w:val="0"/>
        </w:rPr>
        <w:t>的询价文件异常一致或者询价响应报价呈规律性差异；</w:t>
      </w:r>
    </w:p>
    <w:p>
      <w:pPr>
        <w:pStyle w:val="90"/>
        <w:ind w:firstLine="480"/>
        <w:rPr>
          <w:rFonts w:ascii="宋体" w:hAnsi="宋体"/>
          <w:color w:val="auto"/>
          <w:kern w:val="0"/>
        </w:rPr>
      </w:pPr>
      <w:r>
        <w:rPr>
          <w:rFonts w:hint="eastAsia" w:ascii="宋体" w:hAnsi="宋体"/>
          <w:color w:val="auto"/>
          <w:kern w:val="0"/>
        </w:rPr>
        <w:t>（8）不同</w:t>
      </w:r>
      <w:r>
        <w:rPr>
          <w:rFonts w:hint="eastAsia" w:ascii="宋体" w:hAnsi="宋体" w:cs="Tahoma"/>
          <w:color w:val="auto"/>
          <w:kern w:val="0"/>
        </w:rPr>
        <w:t>询价供应商</w:t>
      </w:r>
      <w:r>
        <w:rPr>
          <w:rFonts w:hint="eastAsia" w:ascii="宋体" w:hAnsi="宋体"/>
          <w:color w:val="auto"/>
          <w:kern w:val="0"/>
        </w:rPr>
        <w:t>的询价文件相互混装；</w:t>
      </w:r>
    </w:p>
    <w:p>
      <w:pPr>
        <w:pStyle w:val="90"/>
        <w:ind w:firstLine="480"/>
        <w:rPr>
          <w:rFonts w:ascii="宋体" w:hAnsi="宋体"/>
          <w:color w:val="auto"/>
          <w:kern w:val="0"/>
        </w:rPr>
      </w:pPr>
      <w:r>
        <w:rPr>
          <w:rFonts w:hint="eastAsia" w:ascii="宋体" w:hAnsi="宋体"/>
          <w:color w:val="auto"/>
          <w:kern w:val="0"/>
        </w:rPr>
        <w:t>（9）不同</w:t>
      </w:r>
      <w:r>
        <w:rPr>
          <w:rFonts w:hint="eastAsia" w:ascii="宋体" w:hAnsi="宋体" w:cs="Tahoma"/>
          <w:color w:val="auto"/>
          <w:kern w:val="0"/>
        </w:rPr>
        <w:t>询价供应商</w:t>
      </w:r>
      <w:r>
        <w:rPr>
          <w:rFonts w:hint="eastAsia" w:ascii="宋体" w:hAnsi="宋体"/>
          <w:color w:val="auto"/>
          <w:kern w:val="0"/>
        </w:rPr>
        <w:t>的询价保证金从同一单位或者个人的账户转出；</w:t>
      </w:r>
    </w:p>
    <w:p>
      <w:pPr>
        <w:pStyle w:val="90"/>
        <w:ind w:firstLine="480"/>
        <w:rPr>
          <w:rFonts w:ascii="宋体" w:hAnsi="宋体"/>
          <w:color w:val="auto"/>
        </w:rPr>
      </w:pPr>
      <w:r>
        <w:rPr>
          <w:rFonts w:hint="eastAsia" w:ascii="宋体" w:hAnsi="宋体"/>
          <w:color w:val="auto"/>
          <w:kern w:val="0"/>
        </w:rPr>
        <w:t>（10）有关法律、法规或规章规定的其它串通投标行为。</w:t>
      </w:r>
    </w:p>
    <w:p>
      <w:pPr>
        <w:spacing w:line="360" w:lineRule="auto"/>
        <w:ind w:firstLine="480" w:firstLineChars="200"/>
        <w:rPr>
          <w:rFonts w:ascii="宋体" w:hAnsi="宋体"/>
          <w:color w:val="auto"/>
          <w:sz w:val="24"/>
        </w:rPr>
      </w:pPr>
      <w:r>
        <w:rPr>
          <w:rFonts w:hint="eastAsia" w:ascii="宋体" w:hAnsi="宋体"/>
          <w:color w:val="auto"/>
          <w:sz w:val="24"/>
        </w:rPr>
        <w:t>19.6询价小组终止询价</w:t>
      </w:r>
    </w:p>
    <w:p>
      <w:pPr>
        <w:spacing w:line="360" w:lineRule="auto"/>
        <w:ind w:firstLine="480" w:firstLineChars="200"/>
        <w:rPr>
          <w:rFonts w:ascii="宋体" w:hAnsi="宋体"/>
          <w:color w:val="auto"/>
          <w:sz w:val="24"/>
        </w:rPr>
      </w:pPr>
      <w:r>
        <w:rPr>
          <w:rFonts w:hint="eastAsia" w:ascii="宋体" w:hAnsi="宋体"/>
          <w:color w:val="auto"/>
          <w:sz w:val="24"/>
        </w:rPr>
        <w:t>19.6.1出现下列情形之一的，采购人或者采购代理机构应当终止询价采购活动，发布项目终止公告并说明原因，重新开展采购活动：</w:t>
      </w:r>
    </w:p>
    <w:p>
      <w:pPr>
        <w:spacing w:line="360" w:lineRule="auto"/>
        <w:ind w:firstLine="480" w:firstLineChars="200"/>
        <w:rPr>
          <w:rFonts w:ascii="宋体" w:hAnsi="宋体"/>
          <w:color w:val="auto"/>
          <w:sz w:val="24"/>
        </w:rPr>
      </w:pPr>
      <w:r>
        <w:rPr>
          <w:rFonts w:hint="eastAsia" w:ascii="宋体" w:hAnsi="宋体"/>
          <w:color w:val="auto"/>
          <w:sz w:val="24"/>
        </w:rPr>
        <w:t>（一）因情况变化，不再符合规定的询价采购方式适用情形的；</w:t>
      </w:r>
    </w:p>
    <w:p>
      <w:pPr>
        <w:spacing w:line="360" w:lineRule="auto"/>
        <w:ind w:firstLine="480" w:firstLineChars="200"/>
        <w:rPr>
          <w:rFonts w:ascii="宋体" w:hAnsi="宋体"/>
          <w:color w:val="auto"/>
          <w:sz w:val="24"/>
        </w:rPr>
      </w:pPr>
      <w:r>
        <w:rPr>
          <w:rFonts w:hint="eastAsia" w:ascii="宋体" w:hAnsi="宋体"/>
          <w:color w:val="auto"/>
          <w:sz w:val="24"/>
        </w:rPr>
        <w:t>（二）出现影响采购公正的违法、违规行为的；</w:t>
      </w:r>
    </w:p>
    <w:p>
      <w:pPr>
        <w:spacing w:line="360" w:lineRule="auto"/>
        <w:ind w:firstLine="480" w:firstLineChars="200"/>
        <w:rPr>
          <w:rFonts w:ascii="宋体"/>
          <w:color w:val="auto"/>
          <w:sz w:val="24"/>
          <w:szCs w:val="24"/>
        </w:rPr>
      </w:pPr>
      <w:r>
        <w:rPr>
          <w:rFonts w:hint="eastAsia" w:ascii="宋体" w:hAnsi="宋体" w:cs="宋体"/>
          <w:color w:val="auto"/>
          <w:sz w:val="24"/>
          <w:szCs w:val="24"/>
        </w:rPr>
        <w:t>（三）实质性响应询价通知书要求的供应商不足三家</w:t>
      </w:r>
      <w:r>
        <w:rPr>
          <w:rFonts w:hint="eastAsia" w:ascii="宋体" w:hAnsi="宋体" w:cs="宋体"/>
          <w:b/>
          <w:bCs/>
          <w:color w:val="auto"/>
          <w:sz w:val="24"/>
          <w:szCs w:val="24"/>
        </w:rPr>
        <w:t>，对单一品目或报价核心产品多家供应商用同一品牌同一型号产品参加同一个项目报价的，应作为一家供应商计算。</w:t>
      </w:r>
    </w:p>
    <w:p>
      <w:pPr>
        <w:spacing w:line="360" w:lineRule="auto"/>
        <w:ind w:firstLine="480" w:firstLineChars="200"/>
        <w:jc w:val="left"/>
        <w:rPr>
          <w:rFonts w:ascii="宋体"/>
          <w:color w:val="auto"/>
          <w:sz w:val="24"/>
          <w:szCs w:val="24"/>
        </w:rPr>
      </w:pPr>
      <w:r>
        <w:rPr>
          <w:rFonts w:ascii="宋体" w:hAnsi="宋体" w:cs="宋体"/>
          <w:color w:val="auto"/>
          <w:sz w:val="24"/>
          <w:szCs w:val="24"/>
        </w:rPr>
        <w:t>19.6.2</w:t>
      </w:r>
      <w:r>
        <w:rPr>
          <w:rFonts w:hint="eastAsia" w:ascii="宋体" w:hAnsi="宋体" w:cs="宋体"/>
          <w:color w:val="auto"/>
          <w:sz w:val="24"/>
          <w:szCs w:val="24"/>
        </w:rPr>
        <w:t>询价终止后，除因重大变故，采购任务取消外，采购人或采购代理机构将择期或另择方式进行该项目货物和服务的采购。</w:t>
      </w:r>
    </w:p>
    <w:p>
      <w:pPr>
        <w:spacing w:line="360" w:lineRule="auto"/>
        <w:ind w:firstLine="482" w:firstLineChars="200"/>
        <w:rPr>
          <w:rFonts w:ascii="宋体"/>
          <w:b/>
          <w:bCs/>
          <w:color w:val="auto"/>
          <w:sz w:val="24"/>
          <w:szCs w:val="24"/>
        </w:rPr>
      </w:pPr>
      <w:r>
        <w:rPr>
          <w:rFonts w:ascii="宋体" w:hAnsi="宋体" w:cs="宋体"/>
          <w:b/>
          <w:bCs/>
          <w:color w:val="auto"/>
          <w:sz w:val="24"/>
          <w:szCs w:val="24"/>
        </w:rPr>
        <w:t xml:space="preserve">19.7 </w:t>
      </w:r>
      <w:r>
        <w:rPr>
          <w:rFonts w:hint="eastAsia" w:ascii="宋体" w:hAnsi="宋体" w:cs="宋体"/>
          <w:b/>
          <w:bCs/>
          <w:color w:val="auto"/>
          <w:sz w:val="24"/>
          <w:szCs w:val="24"/>
        </w:rPr>
        <w:t>评审标准和成交原则：</w:t>
      </w:r>
    </w:p>
    <w:p>
      <w:pPr>
        <w:spacing w:line="360" w:lineRule="auto"/>
        <w:ind w:firstLine="480" w:firstLineChars="200"/>
        <w:rPr>
          <w:color w:val="auto"/>
          <w:sz w:val="24"/>
        </w:rPr>
      </w:pPr>
      <w:r>
        <w:rPr>
          <w:rFonts w:hint="eastAsia" w:ascii="ΟGB2312" w:hAnsi="宋体" w:eastAsia="ΟGB2312" w:cs="宋体"/>
          <w:color w:val="auto"/>
          <w:kern w:val="0"/>
          <w:sz w:val="24"/>
        </w:rPr>
        <w:t>询价小组将从质量和服务均能满足采购文件实质性响应要求的供应商中，</w:t>
      </w:r>
      <w:r>
        <w:rPr>
          <w:rFonts w:hint="eastAsia"/>
          <w:color w:val="auto"/>
          <w:sz w:val="24"/>
        </w:rPr>
        <w:t>根据供应商报价按照价格由低到高的顺序提出3名成交候选人。价格相同的，按技术指标优劣顺序排列。</w:t>
      </w:r>
    </w:p>
    <w:p>
      <w:pPr>
        <w:spacing w:line="360" w:lineRule="auto"/>
        <w:ind w:firstLine="482" w:firstLineChars="200"/>
        <w:rPr>
          <w:b/>
          <w:bCs/>
          <w:color w:val="auto"/>
          <w:sz w:val="24"/>
          <w:szCs w:val="24"/>
        </w:rPr>
      </w:pPr>
      <w:r>
        <w:rPr>
          <w:rFonts w:hint="eastAsia" w:cs="宋体"/>
          <w:b/>
          <w:bCs/>
          <w:color w:val="auto"/>
          <w:sz w:val="24"/>
          <w:szCs w:val="24"/>
        </w:rPr>
        <w:t>在评审过程中，对询价产品出现对单一品目或报价核心产品多家供应商用同一品牌同一型号产品参加同一个项目报价的的情况，由询价小组按照以下原则现场确认一家供应商作为有效的询价供应商：</w:t>
      </w:r>
    </w:p>
    <w:p>
      <w:pPr>
        <w:spacing w:line="360" w:lineRule="auto"/>
        <w:ind w:firstLine="392"/>
        <w:rPr>
          <w:color w:val="auto"/>
          <w:sz w:val="24"/>
          <w:szCs w:val="24"/>
        </w:rPr>
      </w:pPr>
      <w:r>
        <w:rPr>
          <w:rFonts w:hint="eastAsia" w:cs="宋体"/>
          <w:color w:val="auto"/>
          <w:sz w:val="24"/>
          <w:szCs w:val="24"/>
        </w:rPr>
        <w:t>（一）确定产品技术指标的唯一性</w:t>
      </w:r>
    </w:p>
    <w:p>
      <w:pPr>
        <w:spacing w:line="360" w:lineRule="auto"/>
        <w:ind w:firstLine="392"/>
        <w:rPr>
          <w:color w:val="auto"/>
          <w:sz w:val="24"/>
          <w:szCs w:val="24"/>
        </w:rPr>
      </w:pPr>
      <w:r>
        <w:rPr>
          <w:rFonts w:hint="eastAsia" w:cs="宋体"/>
          <w:color w:val="auto"/>
          <w:sz w:val="24"/>
          <w:szCs w:val="24"/>
        </w:rPr>
        <w:t>询价小组应对用同一品牌同一型号产品参加询价的各家供应商响应文件的技术指标（参数）部分进行比较审查，如不同询价供应商对同一品牌同一型号产品技术指标（参数）描述不一致的，应确定产品技术指标（参数）的真实性和唯一性，以符合技术指标（参数）真实性和唯一性的询价供应商参与下一阶段的评审。</w:t>
      </w:r>
    </w:p>
    <w:p>
      <w:pPr>
        <w:spacing w:line="360" w:lineRule="auto"/>
        <w:ind w:firstLine="392"/>
        <w:rPr>
          <w:color w:val="auto"/>
          <w:sz w:val="24"/>
          <w:szCs w:val="24"/>
        </w:rPr>
      </w:pPr>
      <w:r>
        <w:rPr>
          <w:rFonts w:hint="eastAsia" w:cs="宋体"/>
          <w:color w:val="auto"/>
          <w:sz w:val="24"/>
          <w:szCs w:val="24"/>
        </w:rPr>
        <w:t>（二）确定有效询价供应商</w:t>
      </w:r>
    </w:p>
    <w:p>
      <w:pPr>
        <w:spacing w:line="360" w:lineRule="auto"/>
        <w:ind w:firstLine="480" w:firstLineChars="200"/>
        <w:jc w:val="left"/>
        <w:rPr>
          <w:rFonts w:ascii="宋体"/>
          <w:b/>
          <w:bCs/>
          <w:color w:val="auto"/>
          <w:sz w:val="24"/>
          <w:szCs w:val="24"/>
        </w:rPr>
      </w:pPr>
      <w:r>
        <w:rPr>
          <w:rFonts w:hint="eastAsia" w:cs="宋体"/>
          <w:color w:val="auto"/>
          <w:sz w:val="24"/>
          <w:szCs w:val="24"/>
        </w:rPr>
        <w:t>如不同询价供应商对同一品牌同一型号产品技术指标描述一致的，由询价小组评议确认符合资格要求和技术商务符合性要求且报价最低者为有效询价供应商。最低报价相同的情况下，由询价小组按资格标准高低、商务服务优劣、技术指标响应情况顺序择优确定。</w:t>
      </w:r>
    </w:p>
    <w:p>
      <w:pPr>
        <w:spacing w:line="360" w:lineRule="auto"/>
        <w:ind w:firstLine="480" w:firstLineChars="200"/>
        <w:rPr>
          <w:rFonts w:ascii="宋体"/>
          <w:color w:val="auto"/>
          <w:sz w:val="24"/>
          <w:szCs w:val="24"/>
        </w:rPr>
      </w:pPr>
    </w:p>
    <w:p>
      <w:pPr>
        <w:pStyle w:val="2"/>
        <w:numPr>
          <w:ilvl w:val="1"/>
          <w:numId w:val="0"/>
        </w:numPr>
        <w:rPr>
          <w:rFonts w:cs="Times New Roman"/>
          <w:color w:val="auto"/>
        </w:rPr>
      </w:pPr>
      <w:bookmarkStart w:id="40" w:name="_Toc3469"/>
      <w:bookmarkStart w:id="41" w:name="_Toc28780"/>
      <w:r>
        <w:rPr>
          <w:rFonts w:hint="eastAsia" w:cs="宋体"/>
          <w:color w:val="auto"/>
        </w:rPr>
        <w:t>六、确定成交供应商与签订合同</w:t>
      </w:r>
      <w:bookmarkEnd w:id="40"/>
      <w:bookmarkEnd w:id="41"/>
    </w:p>
    <w:p>
      <w:pPr>
        <w:spacing w:line="360" w:lineRule="auto"/>
        <w:ind w:firstLine="480" w:firstLineChars="200"/>
        <w:rPr>
          <w:rFonts w:ascii="宋体"/>
          <w:color w:val="auto"/>
          <w:sz w:val="24"/>
          <w:szCs w:val="24"/>
        </w:rPr>
      </w:pPr>
      <w:r>
        <w:rPr>
          <w:rFonts w:ascii="宋体" w:hAnsi="宋体" w:cs="宋体"/>
          <w:color w:val="auto"/>
          <w:sz w:val="24"/>
          <w:szCs w:val="24"/>
        </w:rPr>
        <w:t>20</w:t>
      </w:r>
      <w:r>
        <w:rPr>
          <w:rFonts w:ascii="宋体" w:cs="宋体"/>
          <w:color w:val="auto"/>
          <w:sz w:val="24"/>
          <w:szCs w:val="24"/>
        </w:rPr>
        <w:t>.</w:t>
      </w:r>
      <w:r>
        <w:rPr>
          <w:rFonts w:hint="eastAsia" w:ascii="宋体" w:hAnsi="宋体" w:cs="宋体"/>
          <w:color w:val="auto"/>
          <w:sz w:val="24"/>
          <w:szCs w:val="24"/>
        </w:rPr>
        <w:t>确定成交供应商准则</w:t>
      </w:r>
    </w:p>
    <w:p>
      <w:pPr>
        <w:spacing w:line="360" w:lineRule="auto"/>
        <w:ind w:firstLine="480" w:firstLineChars="200"/>
        <w:rPr>
          <w:rFonts w:ascii="宋体"/>
          <w:color w:val="auto"/>
          <w:sz w:val="24"/>
          <w:szCs w:val="24"/>
        </w:rPr>
      </w:pPr>
      <w:r>
        <w:rPr>
          <w:rFonts w:ascii="宋体" w:hAnsi="宋体" w:cs="宋体"/>
          <w:color w:val="auto"/>
          <w:sz w:val="24"/>
          <w:szCs w:val="24"/>
        </w:rPr>
        <w:t>20.1</w:t>
      </w:r>
      <w:r>
        <w:rPr>
          <w:rFonts w:hint="eastAsia" w:ascii="宋体" w:hAnsi="宋体" w:cs="宋体"/>
          <w:color w:val="auto"/>
          <w:sz w:val="24"/>
          <w:szCs w:val="24"/>
        </w:rPr>
        <w:t>最低投报价不作为成交供应商的保证。</w:t>
      </w:r>
    </w:p>
    <w:p>
      <w:pPr>
        <w:spacing w:line="360" w:lineRule="auto"/>
        <w:ind w:firstLine="480" w:firstLineChars="200"/>
        <w:rPr>
          <w:rFonts w:ascii="宋体"/>
          <w:color w:val="auto"/>
          <w:sz w:val="24"/>
          <w:szCs w:val="24"/>
        </w:rPr>
      </w:pPr>
      <w:r>
        <w:rPr>
          <w:rFonts w:ascii="宋体" w:hAnsi="宋体" w:cs="宋体"/>
          <w:color w:val="auto"/>
          <w:sz w:val="24"/>
          <w:szCs w:val="24"/>
        </w:rPr>
        <w:t>20</w:t>
      </w:r>
      <w:r>
        <w:rPr>
          <w:rFonts w:asci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询价供应商的询价响应文件符合询价通知书要求，按询价通知书确定评审标准、方法，经评委评审并推荐为成交候选供应商。</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21. </w:t>
      </w:r>
      <w:r>
        <w:rPr>
          <w:rFonts w:hint="eastAsia" w:ascii="宋体" w:hAnsi="宋体" w:cs="宋体"/>
          <w:color w:val="auto"/>
          <w:sz w:val="24"/>
          <w:szCs w:val="24"/>
        </w:rPr>
        <w:t>成交通知</w:t>
      </w:r>
    </w:p>
    <w:p>
      <w:pPr>
        <w:spacing w:line="360" w:lineRule="auto"/>
        <w:ind w:firstLine="480" w:firstLineChars="200"/>
        <w:rPr>
          <w:rFonts w:ascii="宋体"/>
          <w:color w:val="auto"/>
          <w:sz w:val="24"/>
          <w:szCs w:val="24"/>
        </w:rPr>
      </w:pPr>
      <w:r>
        <w:rPr>
          <w:rFonts w:ascii="宋体" w:hAnsi="宋体" w:cs="宋体"/>
          <w:color w:val="auto"/>
          <w:sz w:val="24"/>
          <w:szCs w:val="24"/>
        </w:rPr>
        <w:t>21.1</w:t>
      </w:r>
      <w:r>
        <w:rPr>
          <w:rFonts w:hint="eastAsia" w:ascii="宋体" w:hAnsi="宋体" w:cs="宋体"/>
          <w:color w:val="auto"/>
          <w:sz w:val="24"/>
          <w:szCs w:val="24"/>
        </w:rPr>
        <w:t>评审结束，采购人确定成交供应商后，招标代理机构在刊登本采购项目询价公告的媒介上对成交结果进行公示，并向成交供应商发出成交通知书。成交通知书对采购人和成交供应商具有同等法律效力。成交通知书发出后，采购人改变成交结果，或者成交供应商放弃成交，应按相关法律、规章、规范性文件的规定承担相应的法律责任。</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21.2  </w:t>
      </w:r>
      <w:r>
        <w:rPr>
          <w:rFonts w:hint="eastAsia" w:ascii="宋体" w:hAnsi="宋体" w:cs="宋体"/>
          <w:color w:val="auto"/>
          <w:sz w:val="24"/>
          <w:szCs w:val="24"/>
        </w:rPr>
        <w:t>《成交通知书》将作为签订合同的依据。《合同》签订后，《成交通知书》成为《合同》的一部分。</w:t>
      </w:r>
    </w:p>
    <w:p>
      <w:pPr>
        <w:spacing w:line="360" w:lineRule="auto"/>
        <w:ind w:firstLine="480" w:firstLineChars="200"/>
        <w:rPr>
          <w:rFonts w:ascii="宋体"/>
          <w:color w:val="auto"/>
          <w:sz w:val="24"/>
          <w:szCs w:val="24"/>
        </w:rPr>
      </w:pPr>
      <w:r>
        <w:rPr>
          <w:rFonts w:ascii="宋体" w:hAnsi="宋体" w:cs="宋体"/>
          <w:color w:val="auto"/>
          <w:sz w:val="24"/>
          <w:szCs w:val="24"/>
        </w:rPr>
        <w:t>21</w:t>
      </w:r>
      <w:r>
        <w:rPr>
          <w:rFonts w:asci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《成交通知书》发出后</w:t>
      </w:r>
      <w:r>
        <w:rPr>
          <w:rFonts w:ascii="宋体" w:hAnsi="宋体" w:cs="宋体"/>
          <w:color w:val="auto"/>
          <w:sz w:val="24"/>
          <w:szCs w:val="24"/>
        </w:rPr>
        <w:t>5</w:t>
      </w:r>
      <w:r>
        <w:rPr>
          <w:rFonts w:hint="eastAsia" w:ascii="宋体" w:hAnsi="宋体" w:cs="宋体"/>
          <w:color w:val="auto"/>
          <w:sz w:val="24"/>
          <w:szCs w:val="24"/>
        </w:rPr>
        <w:t>个工作日内，招标代理机构以原缴交方式向未成交的询价供应商退还其询价保证金。</w:t>
      </w:r>
    </w:p>
    <w:p>
      <w:pPr>
        <w:pStyle w:val="70"/>
        <w:spacing w:line="360" w:lineRule="auto"/>
        <w:ind w:firstLine="480" w:firstLineChars="200"/>
        <w:rPr>
          <w:rFonts w:hAnsi="宋体" w:cs="Times New Roman"/>
          <w:color w:val="auto"/>
        </w:rPr>
      </w:pPr>
      <w:r>
        <w:rPr>
          <w:rFonts w:hAnsi="宋体"/>
          <w:color w:val="auto"/>
        </w:rPr>
        <w:t>22.</w:t>
      </w:r>
      <w:r>
        <w:rPr>
          <w:rFonts w:hint="eastAsia" w:hAnsi="宋体"/>
          <w:color w:val="auto"/>
        </w:rPr>
        <w:t>签订合同</w:t>
      </w:r>
    </w:p>
    <w:p>
      <w:pPr>
        <w:spacing w:before="120" w:line="360" w:lineRule="auto"/>
        <w:ind w:firstLine="480" w:firstLineChars="200"/>
        <w:rPr>
          <w:rFonts w:ascii="宋体"/>
          <w:color w:val="auto"/>
          <w:sz w:val="24"/>
          <w:szCs w:val="24"/>
        </w:rPr>
      </w:pPr>
      <w:r>
        <w:rPr>
          <w:rFonts w:ascii="宋体" w:hAnsi="宋体" w:cs="宋体"/>
          <w:color w:val="auto"/>
          <w:sz w:val="24"/>
          <w:szCs w:val="24"/>
        </w:rPr>
        <w:t>22</w:t>
      </w:r>
      <w:r>
        <w:rPr>
          <w:rFonts w:asci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采购人、成交供应商在《成交通知书》发出之日起</w:t>
      </w:r>
      <w:r>
        <w:rPr>
          <w:rFonts w:ascii="宋体" w:hAnsi="宋体" w:cs="宋体"/>
          <w:color w:val="auto"/>
          <w:sz w:val="24"/>
          <w:szCs w:val="24"/>
        </w:rPr>
        <w:t>30</w:t>
      </w:r>
      <w:r>
        <w:rPr>
          <w:rFonts w:hint="eastAsia" w:ascii="宋体" w:hAnsi="宋体" w:cs="宋体"/>
          <w:color w:val="auto"/>
          <w:sz w:val="24"/>
          <w:szCs w:val="24"/>
        </w:rPr>
        <w:t>天内，根据询价通知书确定的事项和成交供应商询价响应文件，参照本询价通知书第四章的《合同》文本签订合同。双方所签订的合同不得对询价通知书和成交供应商询价响应文件作实质性修改。逾期未签订合同，按照有关法律规定承担相应的法律责任；招标代理机构将没收询价保证金，以抵偿对采购人造成的损失。采购人逾期不与成交供应商签订合同的，按政府采购的有关规定处理。</w:t>
      </w:r>
    </w:p>
    <w:p>
      <w:pPr>
        <w:spacing w:before="120" w:line="460" w:lineRule="exact"/>
        <w:ind w:firstLine="480" w:firstLineChars="200"/>
        <w:rPr>
          <w:rFonts w:ascii="宋体"/>
          <w:color w:val="auto"/>
          <w:sz w:val="24"/>
          <w:szCs w:val="24"/>
        </w:rPr>
      </w:pPr>
      <w:r>
        <w:rPr>
          <w:rFonts w:ascii="宋体" w:hAnsi="宋体" w:cs="宋体"/>
          <w:color w:val="auto"/>
          <w:sz w:val="24"/>
          <w:szCs w:val="24"/>
        </w:rPr>
        <w:t>22</w:t>
      </w:r>
      <w:r>
        <w:rPr>
          <w:rFonts w:asci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询价通知书、询价通知书的修改文件、成交供应商的询价响应文件、补充或修改的文件及澄清或承诺文件等，均为双方签订《合同》的组成部分，并与《合同》一并作为本询价通知书所列采购项目的互补性法律文件，与《合同》具有同等法律效力。</w:t>
      </w:r>
    </w:p>
    <w:p>
      <w:pPr>
        <w:spacing w:before="120" w:line="460" w:lineRule="exact"/>
        <w:ind w:firstLine="480" w:firstLineChars="200"/>
        <w:rPr>
          <w:rFonts w:ascii="宋体"/>
          <w:color w:val="auto"/>
          <w:sz w:val="24"/>
          <w:szCs w:val="24"/>
        </w:rPr>
      </w:pPr>
      <w:r>
        <w:rPr>
          <w:rFonts w:ascii="宋体" w:hAnsi="宋体" w:cs="宋体"/>
          <w:color w:val="auto"/>
          <w:sz w:val="24"/>
          <w:szCs w:val="24"/>
        </w:rPr>
        <w:t>22</w:t>
      </w:r>
      <w:r>
        <w:rPr>
          <w:rFonts w:asci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采购人在合同履行中，需追加与合同标的相同的货物或者服务的，在不改变合同其他条款的前提下，可与成交供应商协商签订补充合同，但所有补充合同的采购金额不得超过原合同采购金额的百分之十。</w:t>
      </w:r>
    </w:p>
    <w:p>
      <w:pPr>
        <w:spacing w:before="120" w:line="460" w:lineRule="exact"/>
        <w:ind w:firstLine="480" w:firstLineChars="200"/>
        <w:rPr>
          <w:rFonts w:ascii="宋体"/>
          <w:color w:val="auto"/>
          <w:sz w:val="24"/>
          <w:szCs w:val="24"/>
        </w:rPr>
      </w:pPr>
      <w:r>
        <w:rPr>
          <w:rFonts w:ascii="宋体" w:hAnsi="宋体" w:cs="宋体"/>
          <w:color w:val="auto"/>
          <w:sz w:val="24"/>
          <w:szCs w:val="24"/>
        </w:rPr>
        <w:t>22</w:t>
      </w:r>
      <w:r>
        <w:rPr>
          <w:rFonts w:asci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成交供应商因不可抗力或者自身原因不能履行政府采购合同的，采购人可以与排位在成交供应商之后第一位的成交候选供应商签订政府采购合同，以此类推。</w:t>
      </w:r>
    </w:p>
    <w:p>
      <w:pPr>
        <w:spacing w:before="120" w:line="460" w:lineRule="exact"/>
        <w:ind w:firstLine="480" w:firstLineChars="200"/>
        <w:rPr>
          <w:rFonts w:ascii="宋体"/>
          <w:color w:val="auto"/>
          <w:sz w:val="24"/>
          <w:szCs w:val="24"/>
        </w:rPr>
      </w:pPr>
      <w:r>
        <w:rPr>
          <w:rFonts w:ascii="宋体" w:hAnsi="宋体" w:cs="宋体"/>
          <w:color w:val="auto"/>
          <w:sz w:val="24"/>
          <w:szCs w:val="24"/>
        </w:rPr>
        <w:t>23.</w:t>
      </w:r>
      <w:r>
        <w:rPr>
          <w:rFonts w:hint="eastAsia" w:ascii="宋体" w:hAnsi="宋体" w:cs="宋体"/>
          <w:color w:val="auto"/>
          <w:sz w:val="24"/>
          <w:szCs w:val="24"/>
        </w:rPr>
        <w:t>询价项目行政监督部门</w:t>
      </w:r>
    </w:p>
    <w:p>
      <w:pPr>
        <w:spacing w:before="120" w:line="460" w:lineRule="exact"/>
        <w:ind w:firstLine="480" w:firstLineChars="200"/>
        <w:rPr>
          <w:rFonts w:ascii="宋体"/>
          <w:color w:val="auto"/>
          <w:sz w:val="24"/>
          <w:szCs w:val="24"/>
        </w:rPr>
      </w:pPr>
      <w:r>
        <w:rPr>
          <w:rFonts w:ascii="宋体" w:hAnsi="宋体" w:cs="宋体"/>
          <w:color w:val="auto"/>
          <w:sz w:val="24"/>
          <w:szCs w:val="24"/>
        </w:rPr>
        <w:t>23.1</w:t>
      </w:r>
      <w:r>
        <w:rPr>
          <w:rFonts w:hint="eastAsia" w:ascii="宋体" w:hAnsi="宋体" w:cs="宋体"/>
          <w:color w:val="auto"/>
          <w:sz w:val="24"/>
          <w:szCs w:val="24"/>
        </w:rPr>
        <w:t>询价项目行政监督部门可视情况依法派员对本采购活动的全程进行监督。</w:t>
      </w:r>
    </w:p>
    <w:p>
      <w:pPr>
        <w:spacing w:before="120" w:line="460" w:lineRule="exact"/>
        <w:ind w:firstLine="480" w:firstLineChars="200"/>
        <w:rPr>
          <w:rFonts w:ascii="宋体"/>
          <w:color w:val="auto"/>
          <w:sz w:val="24"/>
          <w:szCs w:val="24"/>
        </w:rPr>
      </w:pPr>
    </w:p>
    <w:p>
      <w:pPr>
        <w:pStyle w:val="2"/>
        <w:numPr>
          <w:ilvl w:val="1"/>
          <w:numId w:val="0"/>
        </w:numPr>
        <w:rPr>
          <w:rFonts w:cs="Times New Roman"/>
          <w:color w:val="auto"/>
        </w:rPr>
      </w:pPr>
      <w:bookmarkStart w:id="42" w:name="_Toc23375"/>
      <w:bookmarkStart w:id="43" w:name="_Toc320"/>
      <w:r>
        <w:rPr>
          <w:rFonts w:hint="eastAsia" w:cs="宋体"/>
          <w:color w:val="auto"/>
        </w:rPr>
        <w:t>七、质疑与投诉</w:t>
      </w:r>
      <w:bookmarkEnd w:id="42"/>
      <w:bookmarkEnd w:id="43"/>
    </w:p>
    <w:p>
      <w:pPr>
        <w:spacing w:line="460" w:lineRule="exact"/>
        <w:ind w:firstLine="480" w:firstLineChars="200"/>
        <w:rPr>
          <w:rFonts w:ascii="宋体"/>
          <w:color w:val="auto"/>
          <w:sz w:val="24"/>
          <w:szCs w:val="24"/>
        </w:rPr>
      </w:pPr>
      <w:r>
        <w:rPr>
          <w:rFonts w:ascii="宋体" w:hAnsi="宋体" w:cs="宋体"/>
          <w:color w:val="auto"/>
          <w:sz w:val="24"/>
          <w:szCs w:val="24"/>
        </w:rPr>
        <w:t>24.</w:t>
      </w:r>
      <w:r>
        <w:rPr>
          <w:rFonts w:hint="eastAsia" w:ascii="宋体" w:hAnsi="宋体" w:cs="宋体"/>
          <w:color w:val="auto"/>
          <w:sz w:val="24"/>
          <w:szCs w:val="24"/>
        </w:rPr>
        <w:t>质疑</w:t>
      </w:r>
    </w:p>
    <w:p>
      <w:pPr>
        <w:spacing w:line="460" w:lineRule="exact"/>
        <w:ind w:firstLine="480" w:firstLineChars="200"/>
        <w:rPr>
          <w:rFonts w:ascii="宋体"/>
          <w:color w:val="auto"/>
          <w:sz w:val="24"/>
          <w:szCs w:val="24"/>
        </w:rPr>
      </w:pPr>
      <w:r>
        <w:rPr>
          <w:rFonts w:ascii="宋体" w:hAnsi="宋体" w:cs="宋体"/>
          <w:color w:val="auto"/>
          <w:sz w:val="24"/>
          <w:szCs w:val="24"/>
        </w:rPr>
        <w:t>24.1</w:t>
      </w:r>
      <w:r>
        <w:rPr>
          <w:rFonts w:hint="eastAsia" w:ascii="宋体" w:hAnsi="宋体" w:cs="宋体"/>
          <w:color w:val="auto"/>
          <w:sz w:val="24"/>
          <w:szCs w:val="24"/>
        </w:rPr>
        <w:t>供应商对询价事项有疑问的，可以向采购单位或招标代理机构提出询问。</w:t>
      </w:r>
    </w:p>
    <w:p>
      <w:pPr>
        <w:spacing w:line="460" w:lineRule="exact"/>
        <w:ind w:firstLine="480" w:firstLineChars="200"/>
        <w:rPr>
          <w:rFonts w:ascii="宋体"/>
          <w:color w:val="auto"/>
          <w:sz w:val="24"/>
          <w:szCs w:val="24"/>
        </w:rPr>
      </w:pPr>
      <w:r>
        <w:rPr>
          <w:rFonts w:ascii="宋体" w:hAnsi="宋体" w:cs="宋体"/>
          <w:color w:val="auto"/>
          <w:sz w:val="24"/>
          <w:szCs w:val="24"/>
        </w:rPr>
        <w:t>24.2</w:t>
      </w:r>
      <w:r>
        <w:rPr>
          <w:rFonts w:hint="eastAsia" w:ascii="宋体" w:hAnsi="宋体" w:cs="宋体"/>
          <w:color w:val="auto"/>
          <w:sz w:val="24"/>
          <w:szCs w:val="24"/>
        </w:rPr>
        <w:t>询价供应商认为询价通知书使自己的合法权益受到损害的，可以在递交响应文件截止前</w:t>
      </w:r>
      <w:r>
        <w:rPr>
          <w:rFonts w:ascii="宋体" w:hAnsi="宋体" w:cs="宋体"/>
          <w:color w:val="auto"/>
          <w:sz w:val="24"/>
          <w:szCs w:val="24"/>
        </w:rPr>
        <w:t>2</w:t>
      </w:r>
      <w:r>
        <w:rPr>
          <w:rFonts w:hint="eastAsia" w:ascii="宋体" w:hAnsi="宋体" w:cs="宋体"/>
          <w:color w:val="auto"/>
          <w:sz w:val="24"/>
          <w:szCs w:val="24"/>
        </w:rPr>
        <w:t>个工作日前（正常上班时间），以书面形式向采购单位或招标代理机构提出质疑并要求作出答复。逾期则不予受理，视同接受本询价通知书的所有内容。</w:t>
      </w:r>
    </w:p>
    <w:p>
      <w:pPr>
        <w:spacing w:line="460" w:lineRule="exact"/>
        <w:ind w:firstLine="480" w:firstLineChars="200"/>
        <w:rPr>
          <w:rFonts w:ascii="宋体"/>
          <w:color w:val="auto"/>
          <w:sz w:val="24"/>
          <w:szCs w:val="24"/>
        </w:rPr>
      </w:pPr>
      <w:r>
        <w:rPr>
          <w:rFonts w:ascii="宋体" w:hAnsi="宋体" w:cs="宋体"/>
          <w:color w:val="auto"/>
          <w:sz w:val="24"/>
          <w:szCs w:val="24"/>
        </w:rPr>
        <w:t>24.3</w:t>
      </w:r>
      <w:r>
        <w:rPr>
          <w:rFonts w:hint="eastAsia" w:ascii="宋体" w:hAnsi="宋体" w:cs="宋体"/>
          <w:color w:val="auto"/>
          <w:sz w:val="24"/>
          <w:szCs w:val="24"/>
        </w:rPr>
        <w:t>询价供应商认为询价过程和成交结果使自己的合法权益受到损害的，可以在采购结果公告之日（不包括当日）起</w:t>
      </w:r>
      <w:r>
        <w:rPr>
          <w:rFonts w:ascii="宋体" w:hAnsi="宋体" w:cs="宋体"/>
          <w:color w:val="auto"/>
          <w:sz w:val="24"/>
          <w:szCs w:val="24"/>
        </w:rPr>
        <w:t>7</w:t>
      </w:r>
      <w:r>
        <w:rPr>
          <w:rFonts w:hint="eastAsia" w:ascii="宋体" w:hAnsi="宋体" w:cs="宋体"/>
          <w:color w:val="auto"/>
          <w:sz w:val="24"/>
          <w:szCs w:val="24"/>
        </w:rPr>
        <w:t>个工作日内，以书面形式向采购单位或招标代理机构提出质疑并要求作出答复。逾期则不予受理，视同接受询价过程和采购结果。</w:t>
      </w:r>
    </w:p>
    <w:p>
      <w:pPr>
        <w:spacing w:line="460" w:lineRule="exact"/>
        <w:ind w:firstLine="480" w:firstLineChars="200"/>
        <w:rPr>
          <w:rFonts w:ascii="宋体"/>
          <w:color w:val="auto"/>
          <w:sz w:val="24"/>
          <w:szCs w:val="24"/>
        </w:rPr>
      </w:pPr>
      <w:r>
        <w:rPr>
          <w:rFonts w:ascii="宋体" w:hAnsi="宋体" w:cs="宋体"/>
          <w:color w:val="auto"/>
          <w:sz w:val="24"/>
          <w:szCs w:val="24"/>
        </w:rPr>
        <w:t xml:space="preserve">24.4 </w:t>
      </w:r>
      <w:r>
        <w:rPr>
          <w:rFonts w:hint="eastAsia" w:ascii="宋体" w:hAnsi="宋体" w:cs="宋体"/>
          <w:color w:val="auto"/>
          <w:sz w:val="24"/>
          <w:szCs w:val="24"/>
        </w:rPr>
        <w:t>采购单位或招标代理机构将在收到书面质疑后的</w:t>
      </w:r>
      <w:r>
        <w:rPr>
          <w:rFonts w:ascii="宋体" w:hAnsi="宋体" w:cs="宋体"/>
          <w:color w:val="auto"/>
          <w:sz w:val="24"/>
          <w:szCs w:val="24"/>
        </w:rPr>
        <w:t>7</w:t>
      </w:r>
      <w:r>
        <w:rPr>
          <w:rFonts w:hint="eastAsia" w:ascii="宋体" w:hAnsi="宋体" w:cs="宋体"/>
          <w:color w:val="auto"/>
          <w:sz w:val="24"/>
          <w:szCs w:val="24"/>
        </w:rPr>
        <w:t>个工作日（不包括当日）内作出答复，并以书面形式通知质疑供应商和其他有关供应商，但答复的内容不涉及商业秘密。</w:t>
      </w:r>
    </w:p>
    <w:p>
      <w:pPr>
        <w:spacing w:line="460" w:lineRule="exact"/>
        <w:ind w:firstLine="480" w:firstLineChars="200"/>
        <w:rPr>
          <w:rFonts w:ascii="宋体"/>
          <w:color w:val="auto"/>
          <w:sz w:val="24"/>
          <w:szCs w:val="24"/>
        </w:rPr>
      </w:pPr>
      <w:r>
        <w:rPr>
          <w:rFonts w:ascii="宋体" w:hAnsi="宋体" w:cs="宋体"/>
          <w:color w:val="auto"/>
          <w:sz w:val="24"/>
          <w:szCs w:val="24"/>
        </w:rPr>
        <w:t>25</w:t>
      </w:r>
      <w:r>
        <w:rPr>
          <w:rFonts w:hint="eastAsia" w:ascii="宋体" w:hAnsi="宋体" w:cs="宋体"/>
          <w:color w:val="auto"/>
          <w:sz w:val="24"/>
          <w:szCs w:val="24"/>
        </w:rPr>
        <w:t>．投诉</w:t>
      </w:r>
    </w:p>
    <w:p>
      <w:pPr>
        <w:spacing w:line="460" w:lineRule="exact"/>
        <w:ind w:firstLine="480" w:firstLineChars="200"/>
        <w:rPr>
          <w:rFonts w:ascii="宋体"/>
          <w:color w:val="auto"/>
          <w:sz w:val="24"/>
          <w:szCs w:val="24"/>
        </w:rPr>
      </w:pPr>
      <w:r>
        <w:rPr>
          <w:rFonts w:hint="eastAsia" w:ascii="宋体" w:hAnsi="宋体" w:cs="宋体"/>
          <w:color w:val="auto"/>
          <w:sz w:val="24"/>
          <w:szCs w:val="24"/>
        </w:rPr>
        <w:t>质疑供应商对采购单位或招标代理机构的答复不满意或采购单位或招标代理机构未在规定的时间内做出答复的，可以在答复期满后</w:t>
      </w:r>
      <w:r>
        <w:rPr>
          <w:rFonts w:ascii="宋体" w:hAnsi="宋体" w:cs="宋体"/>
          <w:color w:val="auto"/>
          <w:sz w:val="24"/>
          <w:szCs w:val="24"/>
        </w:rPr>
        <w:t>15</w:t>
      </w:r>
      <w:r>
        <w:rPr>
          <w:rFonts w:hint="eastAsia" w:ascii="宋体" w:hAnsi="宋体" w:cs="宋体"/>
          <w:color w:val="auto"/>
          <w:sz w:val="24"/>
          <w:szCs w:val="24"/>
        </w:rPr>
        <w:t>个工作日内向询价供应商须知前附表第</w:t>
      </w:r>
      <w:r>
        <w:rPr>
          <w:rFonts w:ascii="宋体" w:hAnsi="宋体" w:cs="宋体"/>
          <w:color w:val="auto"/>
          <w:sz w:val="24"/>
          <w:szCs w:val="24"/>
        </w:rPr>
        <w:t>8</w:t>
      </w:r>
      <w:r>
        <w:rPr>
          <w:rFonts w:hint="eastAsia" w:ascii="宋体" w:hAnsi="宋体" w:cs="宋体"/>
          <w:color w:val="auto"/>
          <w:sz w:val="24"/>
          <w:szCs w:val="24"/>
        </w:rPr>
        <w:t>项所述询价项目行政监督部门投诉。</w:t>
      </w:r>
    </w:p>
    <w:p>
      <w:pPr>
        <w:spacing w:line="460" w:lineRule="exact"/>
        <w:ind w:firstLine="480" w:firstLineChars="200"/>
        <w:rPr>
          <w:color w:val="auto"/>
        </w:rPr>
      </w:pPr>
      <w:r>
        <w:rPr>
          <w:rFonts w:ascii="宋体" w:hAnsi="宋体" w:cs="宋体"/>
          <w:color w:val="auto"/>
          <w:sz w:val="24"/>
          <w:szCs w:val="24"/>
        </w:rPr>
        <w:t>26</w:t>
      </w:r>
      <w:r>
        <w:rPr>
          <w:rFonts w:hint="eastAsia" w:ascii="宋体" w:hAnsi="宋体" w:cs="宋体"/>
          <w:color w:val="auto"/>
          <w:sz w:val="24"/>
          <w:szCs w:val="24"/>
        </w:rPr>
        <w:t>质疑投诉人应保证质疑投诉的真实性和可靠性，并承担相应的法律责任。对捏造事实或者提供虚假投诉材料的，将被列入不良行为记录名单。处罚情况将在</w:t>
      </w:r>
      <w:r>
        <w:rPr>
          <w:rFonts w:hint="eastAsia" w:ascii="宋体" w:hAnsi="宋体"/>
          <w:b/>
          <w:color w:val="auto"/>
          <w:sz w:val="24"/>
          <w:u w:val="single"/>
        </w:rPr>
        <w:t>卓知项目管理顾问有限公司龙岩分公司网站（www.zzeccly.com）、</w:t>
      </w:r>
      <w:r>
        <w:rPr>
          <w:rFonts w:hint="eastAsia" w:ascii="宋体" w:hAnsi="宋体"/>
          <w:b/>
          <w:color w:val="auto"/>
          <w:sz w:val="24"/>
          <w:u w:val="single"/>
          <w:lang w:eastAsia="zh-CN"/>
        </w:rPr>
        <w:t>中国政府采购网（www.ccgp.gov.cn）</w:t>
      </w:r>
      <w:r>
        <w:rPr>
          <w:rFonts w:hint="eastAsia" w:ascii="宋体" w:hAnsi="宋体" w:cs="宋体"/>
          <w:color w:val="auto"/>
          <w:sz w:val="24"/>
          <w:szCs w:val="24"/>
        </w:rPr>
        <w:t>公布。</w:t>
      </w:r>
    </w:p>
    <w:p>
      <w:pPr>
        <w:spacing w:line="460" w:lineRule="exact"/>
        <w:ind w:firstLine="480" w:firstLineChars="200"/>
        <w:rPr>
          <w:rFonts w:ascii="宋体"/>
          <w:color w:val="auto"/>
          <w:sz w:val="24"/>
          <w:szCs w:val="24"/>
        </w:rPr>
      </w:pPr>
    </w:p>
    <w:p>
      <w:pPr>
        <w:widowControl/>
        <w:jc w:val="left"/>
        <w:rPr>
          <w:rFonts w:cs="宋体"/>
          <w:b/>
          <w:bCs/>
          <w:color w:val="auto"/>
          <w:kern w:val="44"/>
          <w:sz w:val="36"/>
          <w:szCs w:val="36"/>
        </w:rPr>
      </w:pPr>
      <w:bookmarkStart w:id="44" w:name="_Toc18258"/>
      <w:bookmarkStart w:id="45" w:name="_Toc245"/>
      <w:bookmarkStart w:id="46" w:name="_Toc11527"/>
      <w:r>
        <w:rPr>
          <w:rFonts w:cs="宋体"/>
          <w:color w:val="auto"/>
        </w:rPr>
        <w:br w:type="page"/>
      </w:r>
    </w:p>
    <w:p>
      <w:pPr>
        <w:pStyle w:val="3"/>
        <w:numPr>
          <w:ilvl w:val="0"/>
          <w:numId w:val="0"/>
        </w:numPr>
        <w:rPr>
          <w:color w:val="auto"/>
        </w:rPr>
      </w:pPr>
      <w:r>
        <w:rPr>
          <w:rFonts w:hint="eastAsia" w:cs="宋体"/>
          <w:color w:val="auto"/>
        </w:rPr>
        <w:t>第三章询价内容及要求</w:t>
      </w:r>
      <w:bookmarkEnd w:id="44"/>
      <w:bookmarkEnd w:id="45"/>
      <w:bookmarkEnd w:id="46"/>
    </w:p>
    <w:p>
      <w:pPr>
        <w:spacing w:line="360" w:lineRule="auto"/>
        <w:ind w:firstLine="435"/>
        <w:outlineLvl w:val="1"/>
        <w:rPr>
          <w:rFonts w:ascii="宋体"/>
          <w:b/>
          <w:bCs/>
          <w:color w:val="auto"/>
          <w:sz w:val="24"/>
          <w:szCs w:val="24"/>
        </w:rPr>
      </w:pPr>
      <w:bookmarkStart w:id="47" w:name="_Toc19993"/>
      <w:r>
        <w:rPr>
          <w:rFonts w:hint="eastAsia" w:ascii="宋体" w:hAnsi="宋体" w:cs="宋体"/>
          <w:b/>
          <w:bCs/>
          <w:color w:val="auto"/>
          <w:sz w:val="24"/>
          <w:szCs w:val="24"/>
        </w:rPr>
        <w:t>一、项目内容</w:t>
      </w:r>
      <w:bookmarkEnd w:id="47"/>
    </w:p>
    <w:p>
      <w:pPr>
        <w:spacing w:line="360" w:lineRule="auto"/>
        <w:jc w:val="left"/>
        <w:rPr>
          <w:rFonts w:hint="eastAsia" w:ascii="宋体" w:hAnsi="宋体" w:eastAsia="宋体" w:cs="宋体"/>
          <w:b w:val="0"/>
          <w:bCs w:val="0"/>
          <w:color w:val="auto"/>
          <w:sz w:val="24"/>
          <w:szCs w:val="24"/>
          <w:lang w:eastAsia="zh-CN"/>
        </w:rPr>
      </w:pPr>
      <w:r>
        <w:rPr>
          <w:rFonts w:hint="eastAsia" w:ascii="宋体" w:hAnsi="宋体" w:cs="宋体"/>
          <w:color w:val="auto"/>
          <w:sz w:val="24"/>
          <w:szCs w:val="24"/>
          <w:lang w:val="en-US" w:eastAsia="zh-CN"/>
        </w:rPr>
        <w:t xml:space="preserve">   </w:t>
      </w:r>
      <w:r>
        <w:rPr>
          <w:rFonts w:ascii="宋体" w:hAnsi="宋体" w:cs="宋体"/>
          <w:color w:val="auto"/>
          <w:sz w:val="24"/>
          <w:szCs w:val="24"/>
        </w:rPr>
        <w:t>1</w:t>
      </w:r>
      <w:r>
        <w:rPr>
          <w:rFonts w:hint="eastAsia" w:ascii="宋体" w:hAnsi="宋体" w:cs="宋体"/>
          <w:color w:val="auto"/>
          <w:sz w:val="24"/>
          <w:szCs w:val="24"/>
        </w:rPr>
        <w:t>、项目名称：</w:t>
      </w:r>
      <w:r>
        <w:rPr>
          <w:rFonts w:hint="eastAsia" w:ascii="宋体" w:hAnsi="宋体" w:eastAsia="宋体" w:cs="宋体"/>
          <w:b w:val="0"/>
          <w:bCs w:val="0"/>
          <w:color w:val="auto"/>
          <w:sz w:val="24"/>
          <w:szCs w:val="24"/>
          <w:lang w:eastAsia="zh-CN"/>
        </w:rPr>
        <w:t>龙岩学院火灾自动报警系统</w:t>
      </w:r>
      <w:r>
        <w:rPr>
          <w:rFonts w:hint="eastAsia" w:ascii="宋体" w:hAnsi="宋体" w:eastAsia="宋体" w:cs="宋体"/>
          <w:b w:val="0"/>
          <w:bCs w:val="0"/>
          <w:color w:val="auto"/>
          <w:sz w:val="24"/>
          <w:szCs w:val="24"/>
          <w:lang w:val="en-US" w:eastAsia="zh-CN"/>
        </w:rPr>
        <w:t>维护改造</w:t>
      </w:r>
      <w:r>
        <w:rPr>
          <w:rFonts w:hint="eastAsia" w:ascii="宋体" w:hAnsi="宋体" w:eastAsia="宋体" w:cs="宋体"/>
          <w:b w:val="0"/>
          <w:bCs w:val="0"/>
          <w:color w:val="auto"/>
          <w:sz w:val="24"/>
          <w:szCs w:val="24"/>
          <w:lang w:eastAsia="zh-CN"/>
        </w:rPr>
        <w:t>服务项目货物类采购项目</w:t>
      </w:r>
    </w:p>
    <w:p>
      <w:p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 xml:space="preserve">   </w:t>
      </w:r>
      <w:r>
        <w:rPr>
          <w:rFonts w:ascii="宋体" w:hAnsi="宋体" w:cs="宋体"/>
          <w:color w:val="auto"/>
          <w:sz w:val="24"/>
          <w:szCs w:val="24"/>
        </w:rPr>
        <w:t>2</w:t>
      </w:r>
      <w:r>
        <w:rPr>
          <w:rFonts w:hint="eastAsia" w:ascii="宋体" w:hAnsi="宋体" w:cs="宋体"/>
          <w:color w:val="auto"/>
          <w:sz w:val="24"/>
          <w:szCs w:val="24"/>
        </w:rPr>
        <w:t>、本次采购项目为一个合同包。</w:t>
      </w:r>
    </w:p>
    <w:p>
      <w:pPr>
        <w:spacing w:line="360" w:lineRule="auto"/>
        <w:rPr>
          <w:rFonts w:hint="eastAsia" w:ascii="宋体" w:hAnsi="宋体" w:cs="Times New Roman"/>
          <w:color w:val="auto"/>
          <w:sz w:val="24"/>
          <w:lang w:val="en-US" w:eastAsia="zh-CN"/>
        </w:rPr>
      </w:pPr>
      <w:r>
        <w:rPr>
          <w:rFonts w:hint="eastAsia" w:ascii="宋体" w:hAnsi="宋体" w:cs="宋体"/>
          <w:color w:val="auto"/>
          <w:sz w:val="24"/>
          <w:szCs w:val="24"/>
          <w:lang w:val="en-US" w:eastAsia="zh-CN"/>
        </w:rPr>
        <w:t xml:space="preserve">   3、项目概况：</w:t>
      </w:r>
      <w:r>
        <w:rPr>
          <w:rFonts w:hint="eastAsia" w:ascii="宋体" w:hAnsi="宋体" w:eastAsia="宋体" w:cs="Times New Roman"/>
          <w:color w:val="auto"/>
          <w:sz w:val="24"/>
        </w:rPr>
        <w:t>龙岩学院综合楼消控室、体育馆、行政楼、逸夫楼、福煤楼等多处</w:t>
      </w:r>
      <w:r>
        <w:rPr>
          <w:rFonts w:hint="eastAsia" w:ascii="宋体" w:hAnsi="宋体" w:cs="Times New Roman"/>
          <w:color w:val="auto"/>
          <w:sz w:val="24"/>
          <w:lang w:eastAsia="zh-CN"/>
        </w:rPr>
        <w:t>楼宇火灾自动报警系统由于使用年限过长，设备元件、线路老化，报警系统</w:t>
      </w:r>
      <w:r>
        <w:rPr>
          <w:rFonts w:hint="eastAsia" w:ascii="宋体" w:hAnsi="宋体" w:cs="Times New Roman"/>
          <w:color w:val="auto"/>
          <w:sz w:val="24"/>
          <w:lang w:val="en-US" w:eastAsia="zh-CN"/>
        </w:rPr>
        <w:t>无法正常运行</w:t>
      </w:r>
      <w:r>
        <w:rPr>
          <w:rFonts w:hint="eastAsia" w:ascii="宋体" w:hAnsi="宋体" w:cs="Times New Roman"/>
          <w:color w:val="auto"/>
          <w:sz w:val="24"/>
          <w:lang w:eastAsia="zh-CN"/>
        </w:rPr>
        <w:t>，存在严重的消防安全隐患。具体问题如下</w:t>
      </w:r>
      <w:r>
        <w:rPr>
          <w:rFonts w:hint="eastAsia" w:ascii="宋体" w:hAnsi="宋体" w:cs="Times New Roman"/>
          <w:color w:val="auto"/>
          <w:sz w:val="24"/>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(1)逸夫楼、福煤楼的火灾自动报警系统：报警主机处于关机状态，回路板</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多线盘</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总线盘</w:t>
      </w:r>
      <w:r>
        <w:rPr>
          <w:rFonts w:hint="eastAsia" w:ascii="宋体" w:hAnsi="宋体" w:cs="Times New Roman"/>
          <w:color w:val="auto"/>
          <w:kern w:val="2"/>
          <w:sz w:val="24"/>
          <w:szCs w:val="24"/>
          <w:lang w:val="en-US" w:eastAsia="zh-CN" w:bidi="ar-SA"/>
        </w:rPr>
        <w:t>均出现</w:t>
      </w:r>
      <w:r>
        <w:rPr>
          <w:rFonts w:hint="eastAsia" w:ascii="宋体" w:hAnsi="宋体" w:eastAsia="宋体" w:cs="Times New Roman"/>
          <w:color w:val="auto"/>
          <w:kern w:val="2"/>
          <w:sz w:val="24"/>
          <w:szCs w:val="24"/>
          <w:lang w:val="en-US" w:eastAsia="zh-CN" w:bidi="ar-SA"/>
        </w:rPr>
        <w:t>故障，告警设备及线路老化。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(2)体育馆、行政楼的火灾自动报警系统：报警主机控制板输出模块</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显示器</w:t>
      </w:r>
      <w:r>
        <w:rPr>
          <w:rFonts w:hint="eastAsia" w:ascii="宋体" w:hAnsi="宋体" w:cs="Times New Roman"/>
          <w:color w:val="auto"/>
          <w:kern w:val="2"/>
          <w:sz w:val="24"/>
          <w:szCs w:val="24"/>
          <w:lang w:val="en-US" w:eastAsia="zh-CN" w:bidi="ar-SA"/>
        </w:rPr>
        <w:t>均出现</w:t>
      </w:r>
      <w:r>
        <w:rPr>
          <w:rFonts w:hint="eastAsia" w:ascii="宋体" w:hAnsi="宋体" w:eastAsia="宋体" w:cs="Times New Roman"/>
          <w:color w:val="auto"/>
          <w:kern w:val="2"/>
          <w:sz w:val="24"/>
          <w:szCs w:val="24"/>
          <w:lang w:val="en-US" w:eastAsia="zh-CN" w:bidi="ar-SA"/>
        </w:rPr>
        <w:t>故障，设备及线路老化。</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(3)综合楼的火灾自动报警系统：设备及线路老化，报警主机处于关机状态。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(4)师范教育学院的火灾自动报警系统：报警主机与报警设备不兼容，设备及线路老化。</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cs="Times New Roman"/>
          <w:color w:val="auto"/>
          <w:kern w:val="2"/>
          <w:sz w:val="24"/>
          <w:szCs w:val="24"/>
          <w:lang w:val="en-US" w:eastAsia="zh-CN" w:bidi="ar-SA"/>
        </w:rPr>
      </w:pPr>
      <w:r>
        <w:rPr>
          <w:rFonts w:hint="eastAsia" w:ascii="宋体" w:hAnsi="宋体" w:eastAsia="宋体" w:cs="Times New Roman"/>
          <w:color w:val="auto"/>
          <w:sz w:val="24"/>
        </w:rPr>
        <w:t>为解决学校存在的消防安全</w:t>
      </w:r>
      <w:r>
        <w:rPr>
          <w:rFonts w:hint="eastAsia" w:ascii="宋体" w:hAnsi="宋体" w:cs="Times New Roman"/>
          <w:color w:val="auto"/>
          <w:sz w:val="24"/>
          <w:lang w:eastAsia="zh-CN"/>
        </w:rPr>
        <w:t>隐患</w:t>
      </w:r>
      <w:r>
        <w:rPr>
          <w:rFonts w:hint="eastAsia" w:ascii="宋体" w:hAnsi="宋体" w:eastAsia="宋体" w:cs="Times New Roman"/>
          <w:color w:val="auto"/>
          <w:sz w:val="24"/>
        </w:rPr>
        <w:t>，</w:t>
      </w:r>
      <w:r>
        <w:rPr>
          <w:rFonts w:hint="eastAsia" w:ascii="宋体" w:hAnsi="宋体" w:cs="Times New Roman"/>
          <w:color w:val="auto"/>
          <w:sz w:val="24"/>
          <w:lang w:val="en-US" w:eastAsia="zh-CN"/>
        </w:rPr>
        <w:t>本项目要求对</w:t>
      </w:r>
      <w:r>
        <w:rPr>
          <w:rFonts w:hint="eastAsia" w:ascii="宋体" w:hAnsi="宋体" w:eastAsia="宋体" w:cs="Times New Roman"/>
          <w:color w:val="auto"/>
          <w:sz w:val="24"/>
        </w:rPr>
        <w:t>原有隐患</w:t>
      </w:r>
      <w:r>
        <w:rPr>
          <w:rFonts w:hint="eastAsia" w:ascii="宋体" w:hAnsi="宋体" w:cs="Times New Roman"/>
          <w:color w:val="auto"/>
          <w:sz w:val="24"/>
          <w:lang w:eastAsia="zh-CN"/>
        </w:rPr>
        <w:t>的消防主机</w:t>
      </w:r>
      <w:r>
        <w:rPr>
          <w:rFonts w:hint="eastAsia" w:ascii="宋体" w:hAnsi="宋体" w:eastAsia="宋体" w:cs="Times New Roman"/>
          <w:color w:val="auto"/>
          <w:sz w:val="24"/>
        </w:rPr>
        <w:t>进行改造，</w:t>
      </w:r>
      <w:r>
        <w:rPr>
          <w:rFonts w:hint="eastAsia" w:ascii="宋体" w:hAnsi="宋体" w:eastAsia="宋体"/>
          <w:color w:val="auto"/>
          <w:sz w:val="24"/>
        </w:rPr>
        <w:t>各楼宇损坏、失效、缺失的消防报警设备及破损线路进行更换</w:t>
      </w:r>
      <w:r>
        <w:rPr>
          <w:rFonts w:hint="eastAsia" w:ascii="宋体" w:hAnsi="宋体"/>
          <w:color w:val="auto"/>
          <w:sz w:val="24"/>
          <w:lang w:eastAsia="zh-CN"/>
        </w:rPr>
        <w:t>，</w:t>
      </w:r>
      <w:r>
        <w:rPr>
          <w:rFonts w:hint="eastAsia" w:ascii="宋体" w:hAnsi="宋体" w:eastAsia="宋体" w:cs="Times New Roman"/>
          <w:color w:val="auto"/>
          <w:kern w:val="2"/>
          <w:sz w:val="24"/>
          <w:szCs w:val="24"/>
          <w:lang w:val="en-US" w:eastAsia="zh-CN" w:bidi="ar-SA"/>
        </w:rPr>
        <w:t>综合楼消控室内</w:t>
      </w:r>
      <w:r>
        <w:rPr>
          <w:rFonts w:hint="eastAsia" w:ascii="宋体" w:hAnsi="宋体" w:cs="Times New Roman"/>
          <w:color w:val="auto"/>
          <w:kern w:val="2"/>
          <w:sz w:val="24"/>
          <w:szCs w:val="24"/>
          <w:lang w:val="en-US" w:eastAsia="zh-CN" w:bidi="ar-SA"/>
        </w:rPr>
        <w:t>需增设</w:t>
      </w:r>
      <w:r>
        <w:rPr>
          <w:rFonts w:hint="eastAsia" w:ascii="宋体" w:hAnsi="宋体" w:eastAsia="宋体" w:cs="Times New Roman"/>
          <w:color w:val="auto"/>
          <w:kern w:val="2"/>
          <w:sz w:val="24"/>
          <w:szCs w:val="24"/>
          <w:lang w:val="en-US" w:eastAsia="zh-CN" w:bidi="ar-SA"/>
        </w:rPr>
        <w:t>琴台消防主机及CRT（图形显示器），逸夫楼、福煤楼、行政楼、综合楼、体育馆、师范教育学院</w:t>
      </w:r>
      <w:r>
        <w:rPr>
          <w:rFonts w:hint="eastAsia" w:ascii="宋体" w:hAnsi="宋体" w:cs="Times New Roman"/>
          <w:color w:val="auto"/>
          <w:kern w:val="2"/>
          <w:sz w:val="24"/>
          <w:szCs w:val="24"/>
          <w:lang w:val="en-US" w:eastAsia="zh-CN" w:bidi="ar-SA"/>
        </w:rPr>
        <w:t>均增设</w:t>
      </w:r>
      <w:r>
        <w:rPr>
          <w:rFonts w:hint="eastAsia" w:ascii="宋体" w:hAnsi="宋体" w:eastAsia="宋体" w:cs="Times New Roman"/>
          <w:color w:val="auto"/>
          <w:kern w:val="2"/>
          <w:sz w:val="24"/>
          <w:szCs w:val="24"/>
          <w:lang w:val="en-US" w:eastAsia="zh-CN" w:bidi="ar-SA"/>
        </w:rPr>
        <w:t>壁挂式消防报警区域主机，</w:t>
      </w:r>
      <w:r>
        <w:rPr>
          <w:rFonts w:hint="eastAsia" w:ascii="宋体" w:hAnsi="宋体" w:cs="Times New Roman"/>
          <w:color w:val="auto"/>
          <w:kern w:val="2"/>
          <w:sz w:val="24"/>
          <w:szCs w:val="24"/>
          <w:lang w:val="en-US" w:eastAsia="zh-CN" w:bidi="ar-SA"/>
        </w:rPr>
        <w:t>与</w:t>
      </w:r>
      <w:r>
        <w:rPr>
          <w:rFonts w:hint="eastAsia" w:ascii="宋体" w:hAnsi="宋体" w:eastAsia="宋体" w:cs="Times New Roman"/>
          <w:color w:val="auto"/>
          <w:kern w:val="2"/>
          <w:sz w:val="24"/>
          <w:szCs w:val="24"/>
          <w:lang w:val="en-US" w:eastAsia="zh-CN" w:bidi="ar-SA"/>
        </w:rPr>
        <w:t>综合楼消控室主机</w:t>
      </w:r>
      <w:r>
        <w:rPr>
          <w:rFonts w:hint="eastAsia" w:ascii="宋体" w:hAnsi="宋体" w:cs="Times New Roman"/>
          <w:color w:val="auto"/>
          <w:kern w:val="2"/>
          <w:sz w:val="24"/>
          <w:szCs w:val="24"/>
          <w:lang w:val="en-US" w:eastAsia="zh-CN" w:bidi="ar-SA"/>
        </w:rPr>
        <w:t>互通；</w:t>
      </w:r>
      <w:r>
        <w:rPr>
          <w:rFonts w:hint="eastAsia"/>
          <w:color w:val="auto"/>
          <w:sz w:val="24"/>
          <w:szCs w:val="24"/>
          <w:lang w:val="en-US" w:eastAsia="zh-CN"/>
        </w:rPr>
        <w:t>要求消控主机与原系统互为兼容，存量设备可正常接入；</w:t>
      </w:r>
      <w:r>
        <w:rPr>
          <w:rFonts w:hint="eastAsia" w:ascii="宋体" w:hAnsi="宋体" w:eastAsia="宋体" w:cs="Times New Roman"/>
          <w:color w:val="auto"/>
          <w:kern w:val="2"/>
          <w:sz w:val="24"/>
          <w:szCs w:val="24"/>
          <w:lang w:val="en-US" w:eastAsia="zh-CN" w:bidi="ar-SA"/>
        </w:rPr>
        <w:t>通过运用</w:t>
      </w:r>
      <w:r>
        <w:rPr>
          <w:rFonts w:hint="eastAsia" w:ascii="宋体" w:hAnsi="宋体" w:cs="Times New Roman"/>
          <w:color w:val="auto"/>
          <w:kern w:val="2"/>
          <w:sz w:val="24"/>
          <w:szCs w:val="24"/>
          <w:lang w:val="en-US" w:eastAsia="zh-CN" w:bidi="ar-SA"/>
        </w:rPr>
        <w:t>现代化</w:t>
      </w:r>
      <w:r>
        <w:rPr>
          <w:rFonts w:hint="eastAsia" w:ascii="宋体" w:hAnsi="宋体" w:eastAsia="宋体" w:cs="Times New Roman"/>
          <w:color w:val="auto"/>
          <w:kern w:val="2"/>
          <w:sz w:val="24"/>
          <w:szCs w:val="24"/>
          <w:lang w:val="en-US" w:eastAsia="zh-CN" w:bidi="ar-SA"/>
        </w:rPr>
        <w:t>物联网、云计算、大数据等技术</w:t>
      </w:r>
      <w:r>
        <w:rPr>
          <w:rFonts w:hint="eastAsia" w:ascii="宋体" w:hAnsi="宋体" w:cs="Times New Roman"/>
          <w:color w:val="auto"/>
          <w:kern w:val="2"/>
          <w:sz w:val="24"/>
          <w:szCs w:val="24"/>
          <w:lang w:val="en-US" w:eastAsia="zh-CN" w:bidi="ar-SA"/>
        </w:rPr>
        <w:t>手段</w:t>
      </w:r>
      <w:r>
        <w:rPr>
          <w:rFonts w:hint="eastAsia" w:ascii="宋体" w:hAnsi="宋体" w:eastAsia="宋体" w:cs="Times New Roman"/>
          <w:color w:val="auto"/>
          <w:kern w:val="2"/>
          <w:sz w:val="24"/>
          <w:szCs w:val="24"/>
          <w:lang w:val="en-US" w:eastAsia="zh-CN" w:bidi="ar-SA"/>
        </w:rPr>
        <w:t>，</w:t>
      </w:r>
      <w:r>
        <w:rPr>
          <w:rFonts w:hint="eastAsia" w:ascii="宋体" w:hAnsi="宋体" w:cs="Times New Roman"/>
          <w:color w:val="auto"/>
          <w:kern w:val="2"/>
          <w:sz w:val="24"/>
          <w:szCs w:val="24"/>
          <w:lang w:val="en-US" w:eastAsia="zh-CN" w:bidi="ar-SA"/>
        </w:rPr>
        <w:t>改造后系统要求</w:t>
      </w:r>
      <w:r>
        <w:rPr>
          <w:rFonts w:hint="eastAsia"/>
          <w:color w:val="auto"/>
          <w:sz w:val="24"/>
          <w:szCs w:val="24"/>
          <w:lang w:val="en-US" w:eastAsia="zh-CN"/>
        </w:rPr>
        <w:t>与智慧消防物联网管理平台无缝对接，</w:t>
      </w:r>
      <w:r>
        <w:rPr>
          <w:rFonts w:hint="eastAsia" w:ascii="宋体" w:hAnsi="宋体" w:eastAsia="宋体" w:cs="Times New Roman"/>
          <w:color w:val="auto"/>
          <w:kern w:val="2"/>
          <w:sz w:val="24"/>
          <w:szCs w:val="24"/>
          <w:lang w:val="en-US" w:eastAsia="zh-CN" w:bidi="ar-SA"/>
        </w:rPr>
        <w:t>实现</w:t>
      </w:r>
      <w:r>
        <w:rPr>
          <w:rFonts w:hint="eastAsia" w:ascii="宋体" w:hAnsi="宋体" w:cs="Times New Roman"/>
          <w:color w:val="auto"/>
          <w:kern w:val="2"/>
          <w:sz w:val="24"/>
          <w:szCs w:val="24"/>
          <w:lang w:val="en-US" w:eastAsia="zh-CN" w:bidi="ar-SA"/>
        </w:rPr>
        <w:t>龙岩学院“智慧消防”系统</w:t>
      </w:r>
      <w:r>
        <w:rPr>
          <w:rFonts w:hint="eastAsia" w:ascii="宋体" w:hAnsi="宋体" w:eastAsia="宋体" w:cs="Times New Roman"/>
          <w:color w:val="auto"/>
          <w:kern w:val="2"/>
          <w:sz w:val="24"/>
          <w:szCs w:val="24"/>
          <w:lang w:val="en-US" w:eastAsia="zh-CN" w:bidi="ar-SA"/>
        </w:rPr>
        <w:t>统一管理</w:t>
      </w:r>
      <w:r>
        <w:rPr>
          <w:rFonts w:hint="eastAsia" w:ascii="宋体" w:hAnsi="宋体" w:cs="Times New Roman"/>
          <w:color w:val="auto"/>
          <w:kern w:val="2"/>
          <w:sz w:val="24"/>
          <w:szCs w:val="24"/>
          <w:lang w:val="en-US" w:eastAsia="zh-CN" w:bidi="ar-SA"/>
        </w:rPr>
        <w:t>，为</w:t>
      </w:r>
      <w:r>
        <w:rPr>
          <w:rFonts w:hint="eastAsia" w:ascii="宋体" w:hAnsi="宋体" w:eastAsia="宋体" w:cs="Times New Roman"/>
          <w:color w:val="auto"/>
          <w:kern w:val="2"/>
          <w:sz w:val="24"/>
          <w:szCs w:val="24"/>
          <w:lang w:val="en-US" w:eastAsia="zh-CN" w:bidi="ar-SA"/>
        </w:rPr>
        <w:t>构建立体化、全覆盖的</w:t>
      </w:r>
      <w:r>
        <w:rPr>
          <w:rFonts w:hint="eastAsia" w:ascii="宋体" w:hAnsi="宋体" w:cs="Times New Roman"/>
          <w:color w:val="auto"/>
          <w:kern w:val="2"/>
          <w:sz w:val="24"/>
          <w:szCs w:val="24"/>
          <w:lang w:val="en-US" w:eastAsia="zh-CN" w:bidi="ar-SA"/>
        </w:rPr>
        <w:t>校园</w:t>
      </w:r>
      <w:r>
        <w:rPr>
          <w:rFonts w:hint="eastAsia" w:ascii="宋体" w:hAnsi="宋体" w:eastAsia="宋体" w:cs="Times New Roman"/>
          <w:color w:val="auto"/>
          <w:kern w:val="2"/>
          <w:sz w:val="24"/>
          <w:szCs w:val="24"/>
          <w:lang w:val="en-US" w:eastAsia="zh-CN" w:bidi="ar-SA"/>
        </w:rPr>
        <w:t>火灾防控体系提供有力支撑</w:t>
      </w:r>
      <w:r>
        <w:rPr>
          <w:rFonts w:hint="eastAsia" w:ascii="宋体" w:hAnsi="宋体" w:cs="Times New Roman"/>
          <w:color w:val="auto"/>
          <w:kern w:val="2"/>
          <w:sz w:val="24"/>
          <w:szCs w:val="24"/>
          <w:lang w:val="en-US" w:eastAsia="zh-CN" w:bidi="ar-SA"/>
        </w:rPr>
        <w:t>。具体实施内容如下：</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设备</w:t>
      </w:r>
      <w:r>
        <w:rPr>
          <w:rFonts w:hint="eastAsia" w:ascii="宋体" w:hAnsi="宋体" w:cs="Times New Roman"/>
          <w:color w:val="auto"/>
          <w:kern w:val="2"/>
          <w:sz w:val="24"/>
          <w:szCs w:val="24"/>
          <w:lang w:val="en-US" w:eastAsia="zh-CN" w:bidi="ar-SA"/>
        </w:rPr>
        <w:t>连接线全部采用隐蔽工程，不得破坏大楼原有环境。</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为保证整体体统的兼容性，要求更换后的火灾自动报警系统与原消防系统兼容。</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各楼宇维护改造点位</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6"/>
        <w:gridCol w:w="1605"/>
        <w:gridCol w:w="587"/>
        <w:gridCol w:w="772"/>
        <w:gridCol w:w="1328"/>
        <w:gridCol w:w="772"/>
        <w:gridCol w:w="1328"/>
        <w:gridCol w:w="77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160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设备名称</w:t>
            </w:r>
          </w:p>
        </w:tc>
        <w:tc>
          <w:tcPr>
            <w:tcW w:w="58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单位</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综合楼</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行政楼及副楼</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体育馆</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师范教育学院</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逸夫楼</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福煤楼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vMerge w:val="continue"/>
            <w:shd w:val="clear" w:color="auto" w:fill="auto"/>
            <w:vAlign w:val="center"/>
          </w:tcPr>
          <w:p>
            <w:pPr>
              <w:jc w:val="center"/>
              <w:rPr>
                <w:rFonts w:hint="eastAsia" w:ascii="宋体" w:hAnsi="宋体" w:eastAsia="宋体" w:cs="宋体"/>
                <w:i w:val="0"/>
                <w:iCs w:val="0"/>
                <w:color w:val="auto"/>
                <w:sz w:val="21"/>
                <w:szCs w:val="21"/>
                <w:u w:val="none"/>
              </w:rPr>
            </w:pPr>
          </w:p>
        </w:tc>
        <w:tc>
          <w:tcPr>
            <w:tcW w:w="1605" w:type="dxa"/>
            <w:vMerge w:val="continue"/>
            <w:shd w:val="clear" w:color="auto" w:fill="auto"/>
            <w:vAlign w:val="center"/>
          </w:tcPr>
          <w:p>
            <w:pPr>
              <w:jc w:val="center"/>
              <w:rPr>
                <w:rFonts w:hint="eastAsia" w:ascii="宋体" w:hAnsi="宋体" w:eastAsia="宋体" w:cs="宋体"/>
                <w:i w:val="0"/>
                <w:iCs w:val="0"/>
                <w:color w:val="auto"/>
                <w:sz w:val="21"/>
                <w:szCs w:val="21"/>
                <w:u w:val="none"/>
              </w:rPr>
            </w:pPr>
          </w:p>
        </w:tc>
        <w:tc>
          <w:tcPr>
            <w:tcW w:w="587" w:type="dxa"/>
            <w:vMerge w:val="continue"/>
            <w:shd w:val="clear" w:color="auto" w:fill="auto"/>
            <w:vAlign w:val="center"/>
          </w:tcPr>
          <w:p>
            <w:pPr>
              <w:jc w:val="center"/>
              <w:rPr>
                <w:rFonts w:hint="eastAsia" w:ascii="宋体" w:hAnsi="宋体" w:eastAsia="宋体" w:cs="宋体"/>
                <w:i w:val="0"/>
                <w:iCs w:val="0"/>
                <w:color w:val="auto"/>
                <w:sz w:val="21"/>
                <w:szCs w:val="21"/>
                <w:u w:val="none"/>
              </w:rPr>
            </w:pP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消火栓按钮</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96</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手报按钮</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114</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烟感</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1126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128</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486</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温感</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输入/输出模块</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107</w:t>
            </w:r>
          </w:p>
        </w:tc>
        <w:tc>
          <w:tcPr>
            <w:tcW w:w="132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77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32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77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6</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广播模块</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32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77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32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77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7</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消防广播</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8</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声光</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9</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消防区域主机</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10</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主机（联动型）</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r>
              <w:rPr>
                <w:rFonts w:hint="eastAsia" w:ascii="宋体" w:hAnsi="宋体" w:cs="宋体"/>
                <w:i w:val="0"/>
                <w:iCs w:val="0"/>
                <w:color w:val="auto"/>
                <w:kern w:val="0"/>
                <w:sz w:val="21"/>
                <w:szCs w:val="21"/>
                <w:u w:val="none"/>
                <w:lang w:val="en-US" w:eastAsia="zh-CN" w:bidi="ar"/>
              </w:rPr>
              <w:t>1</w:t>
            </w:r>
          </w:p>
        </w:tc>
        <w:tc>
          <w:tcPr>
            <w:tcW w:w="16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图形显示（CRT）</w:t>
            </w:r>
          </w:p>
        </w:tc>
        <w:tc>
          <w:tcPr>
            <w:tcW w:w="5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13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8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12</w:t>
            </w:r>
          </w:p>
        </w:tc>
        <w:tc>
          <w:tcPr>
            <w:tcW w:w="160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电源监控模块</w:t>
            </w:r>
          </w:p>
        </w:tc>
        <w:tc>
          <w:tcPr>
            <w:tcW w:w="58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台</w:t>
            </w:r>
          </w:p>
        </w:tc>
        <w:tc>
          <w:tcPr>
            <w:tcW w:w="772"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32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0</w:t>
            </w:r>
          </w:p>
        </w:tc>
        <w:tc>
          <w:tcPr>
            <w:tcW w:w="132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0</w:t>
            </w:r>
          </w:p>
        </w:tc>
        <w:tc>
          <w:tcPr>
            <w:tcW w:w="772"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0</w:t>
            </w:r>
          </w:p>
        </w:tc>
      </w:tr>
    </w:tbl>
    <w:p>
      <w:pPr>
        <w:spacing w:line="360" w:lineRule="auto"/>
        <w:rPr>
          <w:rFonts w:ascii="宋体" w:hAnsi="宋体" w:cs="宋体"/>
          <w:color w:val="auto"/>
          <w:sz w:val="24"/>
          <w:szCs w:val="24"/>
        </w:rPr>
      </w:pPr>
      <w:r>
        <w:rPr>
          <w:rFonts w:hint="eastAsia" w:ascii="宋体" w:hAnsi="宋体" w:cs="宋体"/>
          <w:color w:val="auto"/>
          <w:sz w:val="24"/>
          <w:szCs w:val="24"/>
          <w:lang w:val="en-US" w:eastAsia="zh-CN"/>
        </w:rPr>
        <w:t xml:space="preserve">   4</w:t>
      </w:r>
      <w:r>
        <w:rPr>
          <w:rFonts w:hint="eastAsia" w:ascii="宋体" w:hAnsi="宋体" w:cs="宋体"/>
          <w:color w:val="auto"/>
          <w:sz w:val="24"/>
          <w:szCs w:val="24"/>
        </w:rPr>
        <w:t>、采购范围：包括但不限于产品供应、运输、安装、调试、搬运、培训</w:t>
      </w:r>
      <w:r>
        <w:rPr>
          <w:rFonts w:hint="eastAsia" w:ascii="宋体" w:hAnsi="宋体" w:cs="宋体"/>
          <w:color w:val="auto"/>
          <w:sz w:val="24"/>
          <w:szCs w:val="24"/>
          <w:lang w:eastAsia="zh-CN"/>
        </w:rPr>
        <w:t>、</w:t>
      </w:r>
      <w:r>
        <w:rPr>
          <w:rFonts w:hint="eastAsia" w:ascii="宋体" w:hAnsi="宋体" w:cs="宋体"/>
          <w:color w:val="auto"/>
          <w:sz w:val="24"/>
          <w:szCs w:val="24"/>
        </w:rPr>
        <w:t>售后服务</w:t>
      </w:r>
      <w:r>
        <w:rPr>
          <w:rFonts w:hint="eastAsia" w:ascii="宋体" w:hAnsi="宋体" w:cs="宋体"/>
          <w:color w:val="auto"/>
          <w:sz w:val="24"/>
          <w:szCs w:val="24"/>
          <w:lang w:eastAsia="zh-CN"/>
        </w:rPr>
        <w:t>、保险、税费等一切费用</w:t>
      </w:r>
      <w:r>
        <w:rPr>
          <w:rFonts w:hint="eastAsia" w:ascii="宋体" w:hAnsi="宋体" w:cs="宋体"/>
          <w:color w:val="auto"/>
          <w:sz w:val="24"/>
          <w:szCs w:val="24"/>
        </w:rPr>
        <w:t>。</w:t>
      </w:r>
    </w:p>
    <w:p>
      <w:pPr>
        <w:spacing w:line="360" w:lineRule="auto"/>
        <w:ind w:firstLine="435"/>
        <w:rPr>
          <w:color w:val="auto"/>
        </w:rPr>
      </w:pP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、采购标的细项表                              </w:t>
      </w:r>
      <w:r>
        <w:rPr>
          <w:rFonts w:hint="eastAsia" w:ascii="宋体" w:hAnsi="宋体" w:cs="宋体"/>
          <w:color w:val="auto"/>
          <w:sz w:val="24"/>
          <w:szCs w:val="24"/>
          <w:shd w:val="clear" w:color="auto" w:fill="FFFFFF"/>
        </w:rPr>
        <w:t>金额单位：人民币元</w:t>
      </w:r>
    </w:p>
    <w:tbl>
      <w:tblPr>
        <w:tblStyle w:val="29"/>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530"/>
        <w:gridCol w:w="877"/>
        <w:gridCol w:w="1500"/>
        <w:gridCol w:w="142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29" w:type="dxa"/>
            <w:vAlign w:val="center"/>
          </w:tcPr>
          <w:p>
            <w:pPr>
              <w:pStyle w:val="16"/>
              <w:spacing w:line="360" w:lineRule="auto"/>
              <w:jc w:val="center"/>
              <w:rPr>
                <w:rFonts w:hAnsi="宋体"/>
                <w:b/>
                <w:color w:val="auto"/>
                <w:sz w:val="24"/>
                <w:szCs w:val="24"/>
              </w:rPr>
            </w:pPr>
            <w:r>
              <w:rPr>
                <w:rFonts w:hint="eastAsia" w:hAnsi="宋体"/>
                <w:b/>
                <w:color w:val="auto"/>
                <w:sz w:val="24"/>
                <w:szCs w:val="24"/>
              </w:rPr>
              <w:t>序号</w:t>
            </w:r>
          </w:p>
        </w:tc>
        <w:tc>
          <w:tcPr>
            <w:tcW w:w="1530" w:type="dxa"/>
            <w:vAlign w:val="center"/>
          </w:tcPr>
          <w:p>
            <w:pPr>
              <w:pStyle w:val="16"/>
              <w:spacing w:line="360" w:lineRule="auto"/>
              <w:jc w:val="center"/>
              <w:rPr>
                <w:rFonts w:hAnsi="宋体"/>
                <w:b/>
                <w:color w:val="auto"/>
                <w:sz w:val="24"/>
                <w:szCs w:val="24"/>
              </w:rPr>
            </w:pPr>
            <w:r>
              <w:rPr>
                <w:rFonts w:hint="eastAsia" w:hAnsi="宋体"/>
                <w:b/>
                <w:color w:val="auto"/>
                <w:sz w:val="24"/>
                <w:szCs w:val="24"/>
              </w:rPr>
              <w:t>货品</w:t>
            </w:r>
          </w:p>
        </w:tc>
        <w:tc>
          <w:tcPr>
            <w:tcW w:w="877" w:type="dxa"/>
            <w:vAlign w:val="center"/>
          </w:tcPr>
          <w:p>
            <w:pPr>
              <w:pStyle w:val="16"/>
              <w:spacing w:line="360" w:lineRule="auto"/>
              <w:jc w:val="center"/>
              <w:rPr>
                <w:rFonts w:hAnsi="宋体"/>
                <w:b/>
                <w:color w:val="auto"/>
                <w:sz w:val="24"/>
                <w:szCs w:val="24"/>
              </w:rPr>
            </w:pPr>
            <w:r>
              <w:rPr>
                <w:rFonts w:hint="eastAsia" w:hAnsi="宋体"/>
                <w:b/>
                <w:color w:val="auto"/>
                <w:sz w:val="24"/>
                <w:szCs w:val="24"/>
              </w:rPr>
              <w:t>数量</w:t>
            </w:r>
          </w:p>
        </w:tc>
        <w:tc>
          <w:tcPr>
            <w:tcW w:w="1500" w:type="dxa"/>
            <w:vAlign w:val="center"/>
          </w:tcPr>
          <w:p>
            <w:pPr>
              <w:pStyle w:val="16"/>
              <w:spacing w:line="360" w:lineRule="auto"/>
              <w:jc w:val="center"/>
              <w:rPr>
                <w:rFonts w:hAnsi="宋体"/>
                <w:b/>
                <w:color w:val="auto"/>
                <w:sz w:val="24"/>
                <w:szCs w:val="24"/>
              </w:rPr>
            </w:pPr>
            <w:r>
              <w:rPr>
                <w:rFonts w:hint="eastAsia" w:hAnsi="宋体"/>
                <w:b/>
                <w:color w:val="auto"/>
                <w:sz w:val="24"/>
                <w:szCs w:val="24"/>
              </w:rPr>
              <w:t>预算单价</w:t>
            </w:r>
          </w:p>
        </w:tc>
        <w:tc>
          <w:tcPr>
            <w:tcW w:w="1426" w:type="dxa"/>
            <w:vAlign w:val="center"/>
          </w:tcPr>
          <w:p>
            <w:pPr>
              <w:pStyle w:val="16"/>
              <w:spacing w:line="360" w:lineRule="auto"/>
              <w:jc w:val="center"/>
              <w:rPr>
                <w:rFonts w:hAnsi="宋体"/>
                <w:b/>
                <w:color w:val="auto"/>
                <w:sz w:val="24"/>
                <w:szCs w:val="24"/>
              </w:rPr>
            </w:pPr>
            <w:r>
              <w:rPr>
                <w:rFonts w:hint="eastAsia" w:hAnsi="宋体"/>
                <w:b/>
                <w:color w:val="auto"/>
                <w:sz w:val="24"/>
                <w:szCs w:val="24"/>
              </w:rPr>
              <w:t>预算总价</w:t>
            </w:r>
          </w:p>
        </w:tc>
        <w:tc>
          <w:tcPr>
            <w:tcW w:w="2409" w:type="dxa"/>
            <w:vAlign w:val="center"/>
          </w:tcPr>
          <w:p>
            <w:pPr>
              <w:pStyle w:val="16"/>
              <w:spacing w:line="360" w:lineRule="auto"/>
              <w:jc w:val="center"/>
              <w:rPr>
                <w:rFonts w:hAnsi="宋体"/>
                <w:b/>
                <w:color w:val="auto"/>
                <w:sz w:val="24"/>
                <w:szCs w:val="24"/>
              </w:rPr>
            </w:pPr>
            <w:r>
              <w:rPr>
                <w:rFonts w:hint="eastAsia" w:hAnsi="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829" w:type="dxa"/>
            <w:vAlign w:val="center"/>
          </w:tcPr>
          <w:p>
            <w:pPr>
              <w:pStyle w:val="16"/>
              <w:spacing w:line="360" w:lineRule="auto"/>
              <w:jc w:val="center"/>
              <w:rPr>
                <w:rFonts w:hAnsi="宋体"/>
                <w:color w:val="auto"/>
                <w:sz w:val="24"/>
                <w:szCs w:val="24"/>
              </w:rPr>
            </w:pPr>
            <w:r>
              <w:rPr>
                <w:rFonts w:hint="eastAsia" w:hAnsi="宋体"/>
                <w:color w:val="auto"/>
                <w:sz w:val="24"/>
                <w:szCs w:val="24"/>
              </w:rPr>
              <w:t>1</w:t>
            </w:r>
          </w:p>
        </w:tc>
        <w:tc>
          <w:tcPr>
            <w:tcW w:w="1530" w:type="dxa"/>
            <w:vAlign w:val="center"/>
          </w:tcPr>
          <w:p>
            <w:pPr>
              <w:pStyle w:val="16"/>
              <w:spacing w:line="360" w:lineRule="auto"/>
              <w:jc w:val="center"/>
              <w:rPr>
                <w:rFonts w:hAnsi="宋体"/>
                <w:color w:val="auto"/>
                <w:sz w:val="24"/>
                <w:szCs w:val="24"/>
              </w:rPr>
            </w:pPr>
            <w:r>
              <w:rPr>
                <w:rFonts w:hint="eastAsia" w:ascii="宋体" w:hAnsi="宋体" w:eastAsia="宋体" w:cs="宋体"/>
                <w:color w:val="auto"/>
                <w:kern w:val="0"/>
                <w:sz w:val="24"/>
                <w:szCs w:val="24"/>
                <w:lang w:val="en-US" w:eastAsia="zh-CN" w:bidi="ar"/>
              </w:rPr>
              <w:t>龙岩学院火灾自动报警系统维护改造服务项目货物类采购项目</w:t>
            </w:r>
          </w:p>
        </w:tc>
        <w:tc>
          <w:tcPr>
            <w:tcW w:w="877" w:type="dxa"/>
            <w:vAlign w:val="center"/>
          </w:tcPr>
          <w:p>
            <w:pPr>
              <w:pStyle w:val="16"/>
              <w:spacing w:line="360" w:lineRule="auto"/>
              <w:jc w:val="center"/>
              <w:rPr>
                <w:rFonts w:hAnsi="宋体"/>
                <w:color w:val="auto"/>
                <w:sz w:val="24"/>
                <w:szCs w:val="24"/>
              </w:rPr>
            </w:pPr>
            <w:r>
              <w:rPr>
                <w:rFonts w:hint="eastAsia" w:hAnsi="宋体"/>
                <w:color w:val="auto"/>
                <w:sz w:val="24"/>
                <w:szCs w:val="24"/>
              </w:rPr>
              <w:t>1批</w:t>
            </w:r>
          </w:p>
        </w:tc>
        <w:tc>
          <w:tcPr>
            <w:tcW w:w="1500" w:type="dxa"/>
            <w:vAlign w:val="center"/>
          </w:tcPr>
          <w:p>
            <w:pPr>
              <w:pStyle w:val="16"/>
              <w:spacing w:line="360" w:lineRule="auto"/>
              <w:jc w:val="center"/>
              <w:rPr>
                <w:rFonts w:hAnsi="宋体"/>
                <w:color w:val="auto"/>
                <w:sz w:val="24"/>
                <w:szCs w:val="24"/>
              </w:rPr>
            </w:pPr>
            <w:r>
              <w:rPr>
                <w:rFonts w:hint="eastAsia" w:ascii="宋体" w:hAnsi="宋体" w:eastAsia="宋体" w:cs="宋体"/>
                <w:b w:val="0"/>
                <w:bCs w:val="0"/>
                <w:color w:val="auto"/>
                <w:kern w:val="0"/>
                <w:sz w:val="24"/>
                <w:szCs w:val="24"/>
                <w:lang w:val="en-US" w:eastAsia="zh-CN"/>
              </w:rPr>
              <w:t>1219</w:t>
            </w:r>
            <w:r>
              <w:rPr>
                <w:rFonts w:hint="eastAsia" w:hAnsi="宋体" w:cs="宋体"/>
                <w:b w:val="0"/>
                <w:bCs w:val="0"/>
                <w:color w:val="auto"/>
                <w:kern w:val="0"/>
                <w:sz w:val="24"/>
                <w:szCs w:val="24"/>
                <w:lang w:val="en-US" w:eastAsia="zh-CN"/>
              </w:rPr>
              <w:t>000</w:t>
            </w:r>
          </w:p>
        </w:tc>
        <w:tc>
          <w:tcPr>
            <w:tcW w:w="1426" w:type="dxa"/>
            <w:vAlign w:val="center"/>
          </w:tcPr>
          <w:p>
            <w:pPr>
              <w:pStyle w:val="16"/>
              <w:spacing w:line="360" w:lineRule="auto"/>
              <w:jc w:val="center"/>
              <w:rPr>
                <w:rFonts w:hAnsi="宋体"/>
                <w:color w:val="auto"/>
                <w:sz w:val="24"/>
                <w:szCs w:val="24"/>
              </w:rPr>
            </w:pPr>
            <w:r>
              <w:rPr>
                <w:rFonts w:hint="eastAsia" w:ascii="宋体" w:hAnsi="宋体" w:eastAsia="宋体" w:cs="宋体"/>
                <w:b w:val="0"/>
                <w:bCs w:val="0"/>
                <w:color w:val="auto"/>
                <w:kern w:val="0"/>
                <w:sz w:val="24"/>
                <w:szCs w:val="24"/>
                <w:lang w:val="en-US" w:eastAsia="zh-CN"/>
              </w:rPr>
              <w:t>1219</w:t>
            </w:r>
            <w:r>
              <w:rPr>
                <w:rFonts w:hint="eastAsia" w:hAnsi="宋体" w:cs="宋体"/>
                <w:b w:val="0"/>
                <w:bCs w:val="0"/>
                <w:color w:val="auto"/>
                <w:kern w:val="0"/>
                <w:sz w:val="24"/>
                <w:szCs w:val="24"/>
                <w:lang w:val="en-US" w:eastAsia="zh-CN"/>
              </w:rPr>
              <w:t>000</w:t>
            </w:r>
          </w:p>
        </w:tc>
        <w:tc>
          <w:tcPr>
            <w:tcW w:w="2409" w:type="dxa"/>
            <w:vAlign w:val="center"/>
          </w:tcPr>
          <w:p>
            <w:pPr>
              <w:pStyle w:val="16"/>
              <w:spacing w:line="360" w:lineRule="auto"/>
              <w:jc w:val="center"/>
              <w:rPr>
                <w:rFonts w:hAnsi="宋体"/>
                <w:color w:val="auto"/>
                <w:sz w:val="24"/>
                <w:szCs w:val="24"/>
              </w:rPr>
            </w:pPr>
            <w:r>
              <w:rPr>
                <w:rFonts w:hint="eastAsia" w:hAnsi="宋体"/>
                <w:color w:val="auto"/>
                <w:sz w:val="24"/>
                <w:szCs w:val="24"/>
              </w:rPr>
              <w:t>具体参数详见第三章《</w:t>
            </w:r>
            <w:r>
              <w:rPr>
                <w:rFonts w:hint="eastAsia" w:hAnsi="宋体"/>
                <w:color w:val="auto"/>
                <w:sz w:val="24"/>
              </w:rPr>
              <w:t>询价内容及要求》</w:t>
            </w:r>
          </w:p>
        </w:tc>
      </w:tr>
    </w:tbl>
    <w:p>
      <w:pPr>
        <w:spacing w:line="360" w:lineRule="auto"/>
        <w:ind w:firstLine="435"/>
        <w:rPr>
          <w:rFonts w:ascii="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、供应商报价不得超过预算总价，否则报价无效。</w:t>
      </w:r>
    </w:p>
    <w:p>
      <w:pPr>
        <w:spacing w:line="360" w:lineRule="auto"/>
        <w:ind w:firstLine="435"/>
        <w:rPr>
          <w:rFonts w:ascii="仿宋" w:hAnsi="仿宋" w:eastAsia="仿宋"/>
          <w:color w:val="auto"/>
        </w:rPr>
      </w:pPr>
      <w:r>
        <w:rPr>
          <w:rFonts w:hint="eastAsia" w:ascii="宋体" w:hAnsi="宋体" w:cs="宋体"/>
          <w:color w:val="auto"/>
          <w:sz w:val="24"/>
          <w:szCs w:val="24"/>
          <w:lang w:val="en-US" w:eastAsia="zh-CN"/>
        </w:rPr>
        <w:t>7</w:t>
      </w:r>
      <w:r>
        <w:rPr>
          <w:rFonts w:hint="eastAsia" w:ascii="宋体" w:hAnsi="宋体" w:cs="宋体"/>
          <w:color w:val="auto"/>
          <w:sz w:val="24"/>
          <w:szCs w:val="24"/>
        </w:rPr>
        <w:t>、报价：供应商报价均须含</w:t>
      </w:r>
      <w:r>
        <w:rPr>
          <w:rFonts w:hint="eastAsia" w:ascii="宋体" w:hAnsi="宋体" w:eastAsia="宋体" w:cs="宋体"/>
          <w:color w:val="auto"/>
          <w:sz w:val="24"/>
          <w:szCs w:val="24"/>
          <w:highlight w:val="none"/>
        </w:rPr>
        <w:t>相关</w:t>
      </w:r>
      <w:r>
        <w:rPr>
          <w:rFonts w:hint="eastAsia" w:ascii="宋体" w:hAnsi="宋体" w:eastAsia="宋体" w:cs="宋体"/>
          <w:color w:val="auto"/>
          <w:sz w:val="24"/>
          <w:szCs w:val="24"/>
          <w:highlight w:val="none"/>
          <w:lang w:eastAsia="zh-CN"/>
        </w:rPr>
        <w:t>施工、安装、调试及所有设备配套辅材费、施工材料</w:t>
      </w:r>
      <w:r>
        <w:rPr>
          <w:rFonts w:hint="eastAsia" w:ascii="宋体" w:hAnsi="宋体" w:eastAsia="宋体" w:cs="宋体"/>
          <w:color w:val="auto"/>
          <w:sz w:val="24"/>
          <w:szCs w:val="24"/>
          <w:highlight w:val="none"/>
        </w:rPr>
        <w:t>费用，不再另外支付项目金额外的其他费。</w:t>
      </w:r>
      <w:bookmarkStart w:id="48" w:name="_Toc1360"/>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79" w:lineRule="auto"/>
        <w:ind w:left="0" w:leftChars="0" w:right="0" w:rightChars="0" w:firstLine="0" w:firstLineChars="0"/>
        <w:jc w:val="both"/>
        <w:textAlignment w:val="auto"/>
        <w:outlineLvl w:val="0"/>
        <w:rPr>
          <w:rFonts w:hint="eastAsia"/>
          <w:color w:val="auto"/>
          <w:sz w:val="28"/>
          <w:szCs w:val="28"/>
          <w:lang w:eastAsia="zh-CN"/>
        </w:rPr>
      </w:pPr>
      <w:r>
        <w:rPr>
          <w:rFonts w:hint="eastAsia"/>
          <w:color w:val="auto"/>
          <w:sz w:val="28"/>
          <w:szCs w:val="28"/>
          <w:lang w:eastAsia="zh-CN"/>
        </w:rPr>
        <w:t>二、</w:t>
      </w:r>
      <w:r>
        <w:rPr>
          <w:rFonts w:hint="eastAsia"/>
          <w:color w:val="auto"/>
          <w:sz w:val="28"/>
          <w:szCs w:val="28"/>
          <w:lang w:val="en-US" w:eastAsia="zh-CN"/>
        </w:rPr>
        <w:t>技术和服务要求</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79" w:lineRule="auto"/>
        <w:ind w:left="432" w:leftChars="0" w:right="0" w:rightChars="0" w:hanging="432" w:firstLineChars="0"/>
        <w:jc w:val="both"/>
        <w:textAlignment w:val="auto"/>
        <w:outlineLvl w:val="0"/>
        <w:rPr>
          <w:rFonts w:hint="eastAsia"/>
          <w:color w:val="auto"/>
          <w:sz w:val="28"/>
          <w:szCs w:val="28"/>
          <w:lang w:eastAsia="zh-CN"/>
        </w:rPr>
      </w:pPr>
      <w:r>
        <w:rPr>
          <w:rFonts w:hint="eastAsia"/>
          <w:color w:val="auto"/>
          <w:sz w:val="28"/>
          <w:szCs w:val="28"/>
          <w:lang w:val="en-US" w:eastAsia="zh-CN"/>
        </w:rPr>
        <w:t>2.1</w:t>
      </w:r>
      <w:r>
        <w:rPr>
          <w:rFonts w:hint="eastAsia"/>
          <w:color w:val="auto"/>
          <w:sz w:val="28"/>
          <w:szCs w:val="28"/>
          <w:lang w:eastAsia="zh-CN"/>
        </w:rPr>
        <w:t>采购标的清单</w:t>
      </w:r>
    </w:p>
    <w:tbl>
      <w:tblPr>
        <w:tblStyle w:val="30"/>
        <w:tblW w:w="8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91"/>
        <w:gridCol w:w="5247"/>
        <w:gridCol w:w="531"/>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序号</w:t>
            </w:r>
          </w:p>
        </w:tc>
        <w:tc>
          <w:tcPr>
            <w:tcW w:w="139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设备名称</w:t>
            </w:r>
          </w:p>
        </w:tc>
        <w:tc>
          <w:tcPr>
            <w:tcW w:w="52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参数</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单位</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消火栓按钮</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执行标准 GB16806-2006《消防联动控制系统》</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1.工作温度：-10~+55℃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2.贮存温度：-20~+65℃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3.相对湿度：≤ 95%（无凝露）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4.工作电压：DC18V-28V，调制型，控制器提供</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5.监视电流：≤ 0.3mA（DC24V）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6.报警电流：≤ 1mA（DC24V）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7.确认灯：监视状态时启动灯红色闪亮，报警状态时启动灯红色常亮，消防水泵启动后回答灯绿色常亮。</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手报按钮</w:t>
            </w:r>
          </w:p>
        </w:tc>
        <w:tc>
          <w:tcPr>
            <w:tcW w:w="5247" w:type="dxa"/>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工作温度：-10~+55℃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2.贮存温度：-20~+65℃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3.相对湿度：≤ 95%（无凝露）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4.工作电压：DC18V-28V，</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5.监视电流：≤ 0.3mA（DC24V）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6.报警电流：≤ 1mA（DC24V）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7.确认灯：监视状态时火警灯瞬时闪亮，报警时火警灯红色常亮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8.执行标准：GB19880-2005《手动火灾报警按钮》</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color w:val="auto"/>
                <w:spacing w:val="0"/>
                <w:sz w:val="21"/>
                <w:szCs w:val="21"/>
                <w:highlight w:val="none"/>
                <w:shd w:val="clear" w:fill="FFFFFF"/>
              </w:rPr>
              <w:t>◆</w:t>
            </w:r>
            <w:r>
              <w:rPr>
                <w:rFonts w:hint="eastAsia" w:ascii="宋体" w:hAnsi="宋体" w:eastAsia="宋体" w:cs="宋体"/>
                <w:i w:val="0"/>
                <w:iCs w:val="0"/>
                <w:color w:val="auto"/>
                <w:kern w:val="0"/>
                <w:sz w:val="21"/>
                <w:szCs w:val="21"/>
                <w:highlight w:val="none"/>
                <w:u w:val="none"/>
                <w:lang w:val="en-US" w:eastAsia="zh-CN" w:bidi="ar"/>
              </w:rPr>
              <w:t>烟感</w:t>
            </w:r>
          </w:p>
        </w:tc>
        <w:tc>
          <w:tcPr>
            <w:tcW w:w="5247" w:type="dxa"/>
            <w:vAlign w:val="center"/>
          </w:tcPr>
          <w:p>
            <w:pPr>
              <w:keepNext w:val="0"/>
              <w:keepLines w:val="0"/>
              <w:widowControl/>
              <w:numPr>
                <w:ilvl w:val="0"/>
                <w:numId w:val="7"/>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具有工业级抗干扰能力，抗电磁干扰强度不低于30V/m。</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2.工作温度：-10~+55°</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3.贮存温度：-20~+65°</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4.相对湿度：≤95%(无凝露)</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5.工作电压：DC18V-28V</w:t>
            </w:r>
          </w:p>
          <w:p>
            <w:pPr>
              <w:keepNext w:val="0"/>
              <w:keepLines w:val="0"/>
              <w:widowControl/>
              <w:numPr>
                <w:ilvl w:val="0"/>
                <w:numId w:val="0"/>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6.监视电流：≤ 0.3mA（DC24V）</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7.报警电流：≤ 1mA（DC24V）</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8.射频电磁场辐射抗扰度：不低于30V/m</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9.确认灯：监视状态瞬时微亮，报警红色常亮。</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10.保护面积：60-80m²</w:t>
            </w:r>
          </w:p>
          <w:p>
            <w:pPr>
              <w:pStyle w:val="37"/>
              <w:numPr>
                <w:ilvl w:val="0"/>
                <w:numId w:val="0"/>
              </w:numPr>
              <w:ind w:left="0" w:leftChars="0" w:firstLine="0" w:firstLineChars="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i w:val="0"/>
                <w:iCs w:val="0"/>
                <w:color w:val="auto"/>
                <w:kern w:val="0"/>
                <w:sz w:val="21"/>
                <w:szCs w:val="21"/>
                <w:highlight w:val="none"/>
                <w:u w:val="none"/>
                <w:lang w:val="en-US" w:eastAsia="zh-CN" w:bidi="ar"/>
              </w:rPr>
              <w:t>执行标准：GB4715-2005《点型感烟火灾探测器》</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温感</w:t>
            </w:r>
          </w:p>
        </w:tc>
        <w:tc>
          <w:tcPr>
            <w:tcW w:w="5247" w:type="dxa"/>
            <w:vAlign w:val="center"/>
          </w:tcPr>
          <w:p>
            <w:pPr>
              <w:keepNext w:val="0"/>
              <w:keepLines w:val="0"/>
              <w:widowControl/>
              <w:numPr>
                <w:ilvl w:val="0"/>
                <w:numId w:val="8"/>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工作温度：-10~+50℃</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2.贮存温度：-20~+65℃</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3.相对湿度：≤ 95%（无凝露）</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4.工作电压：DC18V-28V</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5.监视电流：≤ 0.3mA（DC24V）</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6.报警电流：≤ 1mA（DC24V）</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7.射频电磁场辐射抗扰度：不低于30V/m</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8.确认灯：监视状态瞬时微亮，报警红色常亮</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9.保护面积：20-30m²</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10.保护面积：20-30m²</w:t>
            </w:r>
          </w:p>
          <w:p>
            <w:pPr>
              <w:pStyle w:val="17"/>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11、具有一个火灾报警确认灯，正常监视状态时红色闪亮，报警状态时红色常亮;</w:t>
            </w:r>
            <w:r>
              <w:rPr>
                <w:rFonts w:hint="eastAsia" w:ascii="宋体" w:hAnsi="宋体" w:eastAsia="宋体" w:cs="宋体"/>
                <w:b/>
                <w:bCs/>
                <w:color w:val="auto"/>
                <w:kern w:val="0"/>
                <w:sz w:val="21"/>
                <w:szCs w:val="21"/>
                <w:highlight w:val="none"/>
              </w:rPr>
              <w:t>（须提供具有检验检测机构资质的机构出具的有效合格检验检测报告复印件佐证，检测报告上须体现“CMA” 标志）</w:t>
            </w:r>
          </w:p>
          <w:p>
            <w:pPr>
              <w:pStyle w:val="37"/>
              <w:numPr>
                <w:ilvl w:val="0"/>
                <w:numId w:val="0"/>
              </w:numPr>
              <w:ind w:left="0" w:leftChars="0" w:firstLine="0" w:firstLineChars="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i w:val="0"/>
                <w:iCs w:val="0"/>
                <w:color w:val="auto"/>
                <w:kern w:val="0"/>
                <w:sz w:val="21"/>
                <w:szCs w:val="21"/>
                <w:highlight w:val="none"/>
                <w:u w:val="none"/>
                <w:lang w:val="en-US" w:eastAsia="zh-CN" w:bidi="ar"/>
              </w:rPr>
              <w:t>执行标准：GB4716-2005《点型感温火灾探测器》</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输入/输出模块</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执行标准：GB16806-2006《消防联动控制系统》</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1、工作温度：-10~+55℃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2、贮存温度：-20~+65℃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3、相对湿度：≤ 95%（无凝露）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4、工作电压：DC18V-28V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5、监视电流：≤ 0.8mA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6、报警电流：≤ 10mA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7、输出容量：脉冲输出：DC30V/1.5A/300ms ，持续输出：DC30V/1.5A/300ms，300ms，后恒流输出（7mA或13mA可选）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8、射频电磁场辐射抗扰度</w:t>
            </w:r>
            <w:r>
              <w:rPr>
                <w:rFonts w:hint="eastAsia" w:ascii="宋体" w:hAnsi="宋体" w:eastAsia="宋体" w:cs="宋体"/>
                <w:color w:val="auto"/>
                <w:sz w:val="21"/>
                <w:szCs w:val="21"/>
                <w:highlight w:val="none"/>
                <w:lang w:val="en-US" w:eastAsia="zh-CN"/>
              </w:rPr>
              <w:t>不低于</w:t>
            </w:r>
            <w:r>
              <w:rPr>
                <w:rFonts w:hint="eastAsia" w:ascii="宋体" w:hAnsi="宋体" w:eastAsia="宋体" w:cs="宋体"/>
                <w:i w:val="0"/>
                <w:iCs w:val="0"/>
                <w:color w:val="auto"/>
                <w:kern w:val="0"/>
                <w:sz w:val="21"/>
                <w:szCs w:val="21"/>
                <w:highlight w:val="none"/>
                <w:u w:val="none"/>
                <w:lang w:val="en-US" w:eastAsia="zh-CN" w:bidi="ar"/>
              </w:rPr>
              <w:t>30V/m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9、确认灯:监视状态时输入动作灯红色闪亮、输出动作灯红色闪亮，动作状态时输入动作灯红色常亮、输出动作灯红色常亮，故障状态时输入动作灯不亮、输出动作灯不亮。</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广播模块</w:t>
            </w:r>
          </w:p>
        </w:tc>
        <w:tc>
          <w:tcPr>
            <w:tcW w:w="5247" w:type="dxa"/>
            <w:vAlign w:val="center"/>
          </w:tcPr>
          <w:p>
            <w:pPr>
              <w:keepNext w:val="0"/>
              <w:keepLines w:val="0"/>
              <w:widowControl/>
              <w:suppressLineNumbers w:val="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执行标准：GB16806-2006《消防联动控制系统》</w:t>
            </w:r>
          </w:p>
          <w:p>
            <w:pPr>
              <w:keepNext w:val="0"/>
              <w:keepLines w:val="0"/>
              <w:widowControl/>
              <w:numPr>
                <w:ilvl w:val="0"/>
                <w:numId w:val="9"/>
              </w:numPr>
              <w:suppressLineNumbers w:val="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工作温度：-10 ~ +55℃</w:t>
            </w:r>
            <w:r>
              <w:rPr>
                <w:rFonts w:hint="eastAsia" w:ascii="宋体" w:hAnsi="宋体" w:eastAsia="宋体" w:cs="宋体"/>
                <w:color w:val="auto"/>
                <w:highlight w:val="none"/>
                <w:lang w:val="en-US" w:eastAsia="zh-CN"/>
              </w:rPr>
              <w:br w:type="textWrapping"/>
            </w:r>
            <w:r>
              <w:rPr>
                <w:rFonts w:hint="eastAsia" w:ascii="宋体" w:hAnsi="宋体" w:eastAsia="宋体" w:cs="宋体"/>
                <w:color w:val="auto"/>
                <w:highlight w:val="none"/>
                <w:lang w:val="en-US" w:eastAsia="zh-CN"/>
              </w:rPr>
              <w:t>2.贮存温度：-20~+65℃</w:t>
            </w:r>
            <w:r>
              <w:rPr>
                <w:rFonts w:hint="eastAsia" w:ascii="宋体" w:hAnsi="宋体" w:eastAsia="宋体" w:cs="宋体"/>
                <w:color w:val="auto"/>
                <w:highlight w:val="none"/>
                <w:lang w:val="en-US" w:eastAsia="zh-CN"/>
              </w:rPr>
              <w:br w:type="textWrapping"/>
            </w:r>
            <w:r>
              <w:rPr>
                <w:rFonts w:hint="eastAsia" w:ascii="宋体" w:hAnsi="宋体" w:eastAsia="宋体" w:cs="宋体"/>
                <w:color w:val="auto"/>
                <w:highlight w:val="none"/>
                <w:lang w:val="en-US" w:eastAsia="zh-CN"/>
              </w:rPr>
              <w:t>3.相对湿度：≤ 95%（无凝露）</w:t>
            </w:r>
            <w:r>
              <w:rPr>
                <w:rFonts w:hint="eastAsia" w:ascii="宋体" w:hAnsi="宋体" w:eastAsia="宋体" w:cs="宋体"/>
                <w:color w:val="auto"/>
                <w:highlight w:val="none"/>
                <w:lang w:val="en-US" w:eastAsia="zh-CN"/>
              </w:rPr>
              <w:br w:type="textWrapping"/>
            </w:r>
            <w:r>
              <w:rPr>
                <w:rFonts w:hint="eastAsia" w:ascii="宋体" w:hAnsi="宋体" w:eastAsia="宋体" w:cs="宋体"/>
                <w:color w:val="auto"/>
                <w:highlight w:val="none"/>
                <w:lang w:val="en-US" w:eastAsia="zh-CN"/>
              </w:rPr>
              <w:t>4.工作电压：DC18V-28V</w:t>
            </w:r>
          </w:p>
          <w:p>
            <w:pPr>
              <w:keepNext w:val="0"/>
              <w:keepLines w:val="0"/>
              <w:widowControl/>
              <w:numPr>
                <w:ilvl w:val="0"/>
                <w:numId w:val="0"/>
              </w:numPr>
              <w:suppressLineNumbers w:val="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5.监视电流：≤ 0.57mA（DC24V）</w:t>
            </w:r>
            <w:r>
              <w:rPr>
                <w:rFonts w:hint="eastAsia" w:ascii="宋体" w:hAnsi="宋体" w:eastAsia="宋体" w:cs="宋体"/>
                <w:color w:val="auto"/>
                <w:highlight w:val="none"/>
                <w:lang w:val="en-US" w:eastAsia="zh-CN"/>
              </w:rPr>
              <w:br w:type="textWrapping"/>
            </w:r>
            <w:r>
              <w:rPr>
                <w:rFonts w:hint="eastAsia" w:ascii="宋体" w:hAnsi="宋体" w:eastAsia="宋体" w:cs="宋体"/>
                <w:color w:val="auto"/>
                <w:highlight w:val="none"/>
                <w:lang w:val="en-US" w:eastAsia="zh-CN"/>
              </w:rPr>
              <w:t>6.报警电流：≤ 1.0mA（DC24V）</w:t>
            </w:r>
            <w:r>
              <w:rPr>
                <w:rFonts w:hint="eastAsia" w:ascii="宋体" w:hAnsi="宋体" w:eastAsia="宋体" w:cs="宋体"/>
                <w:color w:val="auto"/>
                <w:highlight w:val="none"/>
                <w:lang w:val="en-US" w:eastAsia="zh-CN"/>
              </w:rPr>
              <w:br w:type="textWrapping"/>
            </w:r>
            <w:r>
              <w:rPr>
                <w:rFonts w:hint="eastAsia" w:ascii="宋体" w:hAnsi="宋体" w:eastAsia="宋体" w:cs="宋体"/>
                <w:color w:val="auto"/>
                <w:highlight w:val="none"/>
                <w:lang w:val="en-US" w:eastAsia="zh-CN"/>
              </w:rPr>
              <w:t>7.带载能力：≤20只</w:t>
            </w:r>
          </w:p>
          <w:p>
            <w:pPr>
              <w:keepNext w:val="0"/>
              <w:keepLines w:val="0"/>
              <w:widowControl/>
              <w:numPr>
                <w:ilvl w:val="0"/>
                <w:numId w:val="10"/>
              </w:numPr>
              <w:suppressLineNumbers w:val="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确认灯：当为监视状态时，“运行”灯红色闪亮；当为动作状态时，“输出动作”灯红色常亮，“运行”灯红色闪亮；当为故障状态时，音源线路发生短路断路，扬声器线路发生短路断路以及丢失等故障“故障”灯黄色常亮。</w:t>
            </w:r>
          </w:p>
          <w:p>
            <w:pPr>
              <w:pStyle w:val="17"/>
              <w:numPr>
                <w:ilvl w:val="0"/>
                <w:numId w:val="0"/>
              </w:numPr>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9、防护等级：≥IP20</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消防广播</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1、额定功率 ≥3W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2、最大功率 ≥5W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3、输入电压 ≥120V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4、灵敏度≥ 90dB±3dB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5、有效频率范围 150Hz</w:t>
            </w:r>
            <w:r>
              <w:rPr>
                <w:rFonts w:hint="eastAsia" w:ascii="宋体" w:hAnsi="宋体" w:eastAsia="宋体" w:cs="宋体"/>
                <w:color w:val="auto"/>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12000Hz</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声光</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执行标准：GB26851-2011《火灾声和 / 或光警报器》</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1.工作温度：-10 </w:t>
            </w:r>
            <w:r>
              <w:rPr>
                <w:rFonts w:hint="eastAsia" w:ascii="宋体" w:hAnsi="宋体" w:eastAsia="宋体" w:cs="宋体"/>
                <w:color w:val="auto"/>
                <w:highlight w:val="none"/>
                <w:lang w:val="en-US" w:eastAsia="zh-CN"/>
              </w:rPr>
              <w:t xml:space="preserve">~ </w:t>
            </w:r>
            <w:r>
              <w:rPr>
                <w:rFonts w:hint="eastAsia" w:ascii="宋体" w:hAnsi="宋体" w:eastAsia="宋体" w:cs="宋体"/>
                <w:i w:val="0"/>
                <w:iCs w:val="0"/>
                <w:color w:val="auto"/>
                <w:kern w:val="0"/>
                <w:sz w:val="21"/>
                <w:szCs w:val="21"/>
                <w:highlight w:val="none"/>
                <w:u w:val="none"/>
                <w:lang w:val="en-US" w:eastAsia="zh-CN" w:bidi="ar"/>
              </w:rPr>
              <w:t>+55℃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2.贮存温度：-20 </w:t>
            </w:r>
            <w:r>
              <w:rPr>
                <w:rFonts w:hint="eastAsia" w:ascii="宋体" w:hAnsi="宋体" w:eastAsia="宋体" w:cs="宋体"/>
                <w:color w:val="auto"/>
                <w:highlight w:val="none"/>
                <w:lang w:val="en-US" w:eastAsia="zh-CN"/>
              </w:rPr>
              <w:t xml:space="preserve">~ </w:t>
            </w:r>
            <w:r>
              <w:rPr>
                <w:rFonts w:hint="eastAsia" w:ascii="宋体" w:hAnsi="宋体" w:eastAsia="宋体" w:cs="宋体"/>
                <w:i w:val="0"/>
                <w:iCs w:val="0"/>
                <w:color w:val="auto"/>
                <w:kern w:val="0"/>
                <w:sz w:val="21"/>
                <w:szCs w:val="21"/>
                <w:highlight w:val="none"/>
                <w:u w:val="none"/>
                <w:lang w:val="en-US" w:eastAsia="zh-CN" w:bidi="ar"/>
              </w:rPr>
              <w:t>+65℃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3.相对湿度：≤ 95%（无凝露）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4.工作电压：DC18V-28V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5.报警电流：≤ 5mA（DC24V）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6.射频电磁场辐射抗扰度：不低于30V/m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7.报警音量：70dB~95dB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8.变调周期：2.0s~4.0s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9.闪光频率：1.0Hz~1.5Hz</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个</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消防区域主机</w:t>
            </w:r>
          </w:p>
        </w:tc>
        <w:tc>
          <w:tcPr>
            <w:tcW w:w="5247" w:type="dxa"/>
            <w:vAlign w:val="center"/>
          </w:tcPr>
          <w:p>
            <w:pPr>
              <w:keepNext w:val="0"/>
              <w:keepLines w:val="0"/>
              <w:widowControl/>
              <w:numPr>
                <w:ilvl w:val="0"/>
                <w:numId w:val="11"/>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工作温度：-10~+55℃</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2.贮存温度：-20~+65℃</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3.相对湿度：≤ 95%（无凝露）</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4.整机功耗：≤135W</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5.供电主电：AC220V（+10%，-15%），50Hz</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6.备电：DC24V，12V/2.8Ah</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7.火警继电器：不少于1个无源输出，触点容量DC30V/2A</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8.故障继电器：不少于1个无源输出，触点容量DC30V/2A</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9.系统容量：单回路50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sz w:val="21"/>
                <w:szCs w:val="21"/>
                <w:highlight w:val="none"/>
                <w:lang w:val="en-US" w:eastAsia="zh-CN"/>
              </w:rPr>
              <w:t>100点，包括不少于15个火灾显示盘。</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10.通讯距离：≥1500m</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11.巡检周期：≤ 3s</w:t>
            </w:r>
          </w:p>
          <w:p>
            <w:pPr>
              <w:keepNext w:val="0"/>
              <w:keepLines w:val="0"/>
              <w:widowControl/>
              <w:numPr>
                <w:ilvl w:val="0"/>
                <w:numId w:val="0"/>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12.要求消控主机与原系统互为兼容，存量设备可正常接入；要求与智慧消防物联网管理平台无缝对接。</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13.执行标准：GB4717-2005《火灾报警控制器》</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台</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10</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主机（联动型）</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1.工作温度：-10~+55℃</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2.贮存温度：-20~+65℃</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3.相对湿度：≤ 95%（无凝露）</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1.供电主电：AC220V（+10%，-15%），50Hz</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2.备电 DC24V，12V/24Ah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6.整机功耗 ≤ 500W</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7、设备容量:具有</w:t>
            </w:r>
            <w:r>
              <w:rPr>
                <w:rFonts w:hint="eastAsia" w:ascii="宋体" w:hAnsi="宋体" w:eastAsia="宋体" w:cs="宋体"/>
                <w:color w:val="auto"/>
                <w:sz w:val="21"/>
                <w:szCs w:val="21"/>
                <w:highlight w:val="none"/>
                <w:lang w:val="en-US" w:eastAsia="zh-CN"/>
              </w:rPr>
              <w:t>不少于</w:t>
            </w:r>
            <w:r>
              <w:rPr>
                <w:rFonts w:hint="eastAsia" w:ascii="宋体" w:hAnsi="宋体" w:eastAsia="宋体" w:cs="宋体"/>
                <w:i w:val="0"/>
                <w:iCs w:val="0"/>
                <w:color w:val="auto"/>
                <w:kern w:val="0"/>
                <w:sz w:val="21"/>
                <w:szCs w:val="21"/>
                <w:highlight w:val="none"/>
                <w:u w:val="none"/>
                <w:lang w:val="en-US" w:eastAsia="zh-CN" w:bidi="ar"/>
              </w:rPr>
              <w:t>16个回路，每个回路</w:t>
            </w:r>
            <w:r>
              <w:rPr>
                <w:rFonts w:hint="eastAsia" w:ascii="宋体" w:hAnsi="宋体" w:eastAsia="宋体" w:cs="宋体"/>
                <w:color w:val="auto"/>
                <w:sz w:val="21"/>
                <w:szCs w:val="21"/>
                <w:highlight w:val="none"/>
                <w:lang w:val="en-US" w:eastAsia="zh-CN"/>
              </w:rPr>
              <w:t>不少于</w:t>
            </w:r>
            <w:r>
              <w:rPr>
                <w:rFonts w:hint="eastAsia" w:ascii="宋体" w:hAnsi="宋体" w:eastAsia="宋体" w:cs="宋体"/>
                <w:i w:val="0"/>
                <w:iCs w:val="0"/>
                <w:color w:val="auto"/>
                <w:kern w:val="0"/>
                <w:sz w:val="21"/>
                <w:szCs w:val="21"/>
                <w:highlight w:val="none"/>
                <w:u w:val="none"/>
                <w:lang w:val="en-US" w:eastAsia="zh-CN" w:bidi="ar"/>
              </w:rPr>
              <w:t>200个地址点;</w:t>
            </w:r>
            <w:r>
              <w:rPr>
                <w:rFonts w:hint="eastAsia" w:ascii="宋体" w:hAnsi="宋体" w:eastAsia="宋体" w:cs="宋体"/>
                <w:b/>
                <w:bCs/>
                <w:i w:val="0"/>
                <w:iCs w:val="0"/>
                <w:color w:val="auto"/>
                <w:kern w:val="0"/>
                <w:sz w:val="21"/>
                <w:szCs w:val="21"/>
                <w:highlight w:val="none"/>
                <w:u w:val="none"/>
                <w:lang w:val="en-US" w:eastAsia="zh-CN" w:bidi="ar"/>
              </w:rPr>
              <w:t>（须提供具有检验检测机构资质的机构出具的有效合格检验检测报告复印件佐证，检测报告上须体现“CMA” 标志）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8、手动直接控制输出数量: ≥160组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9、手动总线联动控制输出数量:≥720组;</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10.火警继电器：≥1个无源输出，触点容量 DC30V/2A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11.故障继电器：≥1个无源输出，触点容量 DC30V/2A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12.通讯距离 </w:t>
            </w:r>
            <w:r>
              <w:rPr>
                <w:rFonts w:hint="eastAsia" w:ascii="宋体" w:hAnsi="宋体" w:eastAsia="宋体" w:cs="宋体"/>
                <w:color w:val="auto"/>
                <w:sz w:val="21"/>
                <w:szCs w:val="21"/>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1500m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13.巡检周期 ≤ 3s</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14.通讯/数据接口≥1×RS232、≥1×USB、≥1×CAN</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15.集中区域兼容型火灾报警控制器。(联动型)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16.具有火灾报警历史事件和信息记录功能;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17.具有控制输出延时功能;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18.具有屏蔽功能,能屏蔽部位和火灾声光警报器;</w:t>
            </w:r>
            <w:r>
              <w:rPr>
                <w:rFonts w:hint="eastAsia" w:ascii="宋体" w:hAnsi="宋体" w:eastAsia="宋体" w:cs="宋体"/>
                <w:b/>
                <w:bCs/>
                <w:i w:val="0"/>
                <w:iCs w:val="0"/>
                <w:color w:val="auto"/>
                <w:kern w:val="0"/>
                <w:sz w:val="21"/>
                <w:szCs w:val="21"/>
                <w:highlight w:val="none"/>
                <w:u w:val="none"/>
                <w:lang w:val="en-US" w:eastAsia="zh-CN" w:bidi="ar"/>
              </w:rPr>
              <w:t>（须提供具有检验检测机构资质的机构出具的有效合格检验检测报告复印件佐证，检测报告上须体现“CMA” 标志）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19.通过软件实现控制功能;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20.执行标准：GB4717-2005《火灾报警控制器》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GB16806-2006《消防联动控制系统》</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台</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11</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图形显示器（CRT）</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1、消防控制室图形显示装置采用中文标注和中文界面，接通电源后直接进入操作界面，界面关闭时电源自动关闭</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2、消防控制室图形显示装置采用红色指示报警、联动、反馈、监管状态，黄色指示故障、屏蔽状态。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3、一体式结构设计，内置linux操作系统。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4、矢量图显示，可任意放大缩小报警平面图。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5、可实现 Web 远程访问。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6、预留通讯接口，具备实时上报消防设施远程监控中心的功能。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7、消防控制室图形显示装置具有各种报警信息的记录和存储功能，设有历史记录导出功能。</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台</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智能电源模块</w:t>
            </w:r>
          </w:p>
        </w:tc>
        <w:tc>
          <w:tcPr>
            <w:tcW w:w="524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1、极数：≥1P，额定电流：≥16A；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2、额定电压：AC230V，额定工作频率50Hz/60Hz；</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3、最大接线能力35 mm²,额定短路能力6kA；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3、支持对短路、过流、过载、过温、打火（接触不良、绝缘层破损等）等进行保护；</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4、支持实时监测电流、温度、功率、电量等数据；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支持设置预警报警阈值，当发送报警时可自动断闸；</w:t>
            </w:r>
          </w:p>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5、支持本地锁定功能：当手动分闸后，本地锁定功能启动，此时设备不能远程合闸</w:t>
            </w:r>
            <w:r>
              <w:rPr>
                <w:rFonts w:hint="eastAsia" w:ascii="宋体" w:hAnsi="宋体" w:cs="宋体"/>
                <w:i w:val="0"/>
                <w:iCs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6、支持漏保自检功能：移动端或PC端中有漏保自检功能，可设置自检时间；到达设定自检时间点，设备执行漏保自动巡检，漏保正常时，断路器自动合闸</w:t>
            </w:r>
            <w:r>
              <w:rPr>
                <w:rFonts w:hint="eastAsia" w:ascii="宋体" w:hAnsi="宋体" w:cs="宋体"/>
                <w:b/>
                <w:bCs/>
                <w:i w:val="0"/>
                <w:iCs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7、支持打火报警功能：当监测线路出现打火（故障电弧）时，触发打火报警，设备应发送打火报警信息至移动端和PC端</w:t>
            </w:r>
            <w:r>
              <w:rPr>
                <w:rFonts w:hint="eastAsia" w:ascii="宋体" w:hAnsi="宋体" w:cs="宋体"/>
                <w:b/>
                <w:bCs/>
                <w:i w:val="0"/>
                <w:iCs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8、</w:t>
            </w:r>
            <w:r>
              <w:rPr>
                <w:rFonts w:hint="eastAsia" w:ascii="宋体" w:hAnsi="宋体" w:eastAsia="宋体" w:cs="宋体"/>
                <w:i w:val="0"/>
                <w:iCs w:val="0"/>
                <w:color w:val="auto"/>
                <w:kern w:val="0"/>
                <w:sz w:val="21"/>
                <w:szCs w:val="21"/>
                <w:highlight w:val="none"/>
                <w:u w:val="none"/>
                <w:lang w:val="en-US" w:eastAsia="zh-CN" w:bidi="ar"/>
              </w:rPr>
              <w:t>具有≥1个RSS485接口，≥1个电源接口；</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9、外壳材料PA66；安装方式标准导轨TH35-75，垂直安装；</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13</w:t>
            </w:r>
          </w:p>
        </w:tc>
        <w:tc>
          <w:tcPr>
            <w:tcW w:w="139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系统调测服务</w:t>
            </w:r>
          </w:p>
        </w:tc>
        <w:tc>
          <w:tcPr>
            <w:tcW w:w="5247" w:type="dxa"/>
            <w:vAlign w:val="center"/>
          </w:tcPr>
          <w:p>
            <w:pPr>
              <w:jc w:val="left"/>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包含总线、电源线、广播线、套管等辅材及人工（查找、设置管线，设备更换调试联动）</w:t>
            </w:r>
          </w:p>
        </w:tc>
        <w:tc>
          <w:tcPr>
            <w:tcW w:w="53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bl>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p>
    <w:p>
      <w:pPr>
        <w:keepNext w:val="0"/>
        <w:keepLines w:val="0"/>
        <w:pageBreakBefore w:val="0"/>
        <w:widowControl/>
        <w:numPr>
          <w:ilvl w:val="0"/>
          <w:numId w:val="12"/>
        </w:numPr>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ascii="宋体" w:hAnsi="宋体" w:eastAsia="宋体" w:cs="宋体"/>
          <w:b w:val="0"/>
          <w:bCs/>
          <w:color w:val="auto"/>
          <w:sz w:val="24"/>
          <w:szCs w:val="24"/>
        </w:rPr>
      </w:pPr>
      <w:r>
        <w:rPr>
          <w:rFonts w:hint="eastAsia" w:ascii="宋体" w:hAnsi="宋体" w:eastAsia="宋体" w:cs="宋体"/>
          <w:color w:val="auto"/>
          <w:sz w:val="24"/>
          <w:szCs w:val="24"/>
        </w:rPr>
        <w:t>本项目核心产品为：</w:t>
      </w:r>
      <w:r>
        <w:rPr>
          <w:rFonts w:hint="eastAsia" w:ascii="宋体" w:hAnsi="宋体" w:eastAsia="宋体" w:cs="宋体"/>
          <w:color w:val="auto"/>
          <w:spacing w:val="0"/>
          <w:sz w:val="24"/>
          <w:szCs w:val="24"/>
          <w:shd w:val="clear" w:fill="FFFFFF"/>
        </w:rPr>
        <w:t>◆</w:t>
      </w:r>
      <w:r>
        <w:rPr>
          <w:rFonts w:hint="eastAsia" w:ascii="宋体" w:hAnsi="宋体" w:eastAsia="宋体" w:cs="宋体"/>
          <w:color w:val="auto"/>
          <w:spacing w:val="0"/>
          <w:sz w:val="24"/>
          <w:szCs w:val="24"/>
          <w:shd w:val="clear" w:fill="FFFFFF"/>
          <w:lang w:val="en-US" w:eastAsia="zh-CN"/>
        </w:rPr>
        <w:t>1-3</w:t>
      </w:r>
      <w:r>
        <w:rPr>
          <w:rFonts w:hint="eastAsia" w:ascii="宋体" w:hAnsi="宋体" w:eastAsia="宋体" w:cs="宋体"/>
          <w:i w:val="0"/>
          <w:iCs w:val="0"/>
          <w:color w:val="auto"/>
          <w:kern w:val="0"/>
          <w:sz w:val="24"/>
          <w:szCs w:val="24"/>
          <w:u w:val="none"/>
          <w:lang w:val="en-US" w:eastAsia="zh-CN" w:bidi="ar"/>
        </w:rPr>
        <w:t>烟感，</w:t>
      </w:r>
      <w:r>
        <w:rPr>
          <w:rFonts w:hint="eastAsia" w:ascii="宋体" w:hAnsi="宋体" w:eastAsia="宋体" w:cs="宋体"/>
          <w:color w:val="auto"/>
          <w:sz w:val="24"/>
          <w:szCs w:val="24"/>
        </w:rPr>
        <w:t>对单一品目或报价核心产品多家供应商用同一品牌同一型号产品参加同一个项目报价的，应作为一家供应商计算。</w:t>
      </w:r>
    </w:p>
    <w:p>
      <w:pPr>
        <w:pStyle w:val="90"/>
        <w:wordWrap w:val="0"/>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、上述要求均为实质性要求，不允许负偏离，否</w:t>
      </w:r>
      <w:r>
        <w:rPr>
          <w:rFonts w:hint="eastAsia" w:ascii="宋体" w:hAnsi="宋体" w:eastAsia="宋体" w:cs="宋体"/>
          <w:color w:val="auto"/>
          <w:sz w:val="24"/>
          <w:szCs w:val="24"/>
          <w:highlight w:val="none"/>
        </w:rPr>
        <w:t>则视为符合性审查不合格，响应文件无效</w:t>
      </w:r>
      <w:r>
        <w:rPr>
          <w:rFonts w:hint="eastAsia" w:ascii="宋体" w:hAnsi="宋体" w:eastAsia="宋体" w:cs="宋体"/>
          <w:color w:val="auto"/>
          <w:sz w:val="24"/>
          <w:szCs w:val="24"/>
          <w:highlight w:val="none"/>
          <w:lang w:eastAsia="zh-CN"/>
        </w:rPr>
        <w:t>。</w:t>
      </w:r>
      <w:r>
        <w:rPr>
          <w:rFonts w:hint="eastAsia"/>
          <w:color w:val="auto"/>
          <w:lang w:eastAsia="zh-CN"/>
        </w:rPr>
        <w:t>未按要求提交相关响应证明的，视为负偏离。</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kern w:val="2"/>
          <w:sz w:val="24"/>
          <w:szCs w:val="24"/>
          <w:lang w:val="en-US" w:eastAsia="zh-CN" w:bidi="ar-SA"/>
        </w:rPr>
        <w:t>供应商报价不得超过控制单价和控制总价，否则报价无效。</w:t>
      </w:r>
    </w:p>
    <w:p>
      <w:pPr>
        <w:pStyle w:val="90"/>
        <w:wordWrap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、项目报价含相关</w:t>
      </w:r>
      <w:r>
        <w:rPr>
          <w:rFonts w:hint="eastAsia" w:ascii="宋体" w:hAnsi="宋体" w:eastAsia="宋体" w:cs="宋体"/>
          <w:color w:val="auto"/>
          <w:sz w:val="24"/>
          <w:szCs w:val="24"/>
          <w:highlight w:val="none"/>
          <w:lang w:eastAsia="zh-CN"/>
        </w:rPr>
        <w:t>施工、安装、调试及所有设备配套辅材费、施工材料</w:t>
      </w:r>
      <w:r>
        <w:rPr>
          <w:rFonts w:hint="eastAsia" w:ascii="宋体" w:hAnsi="宋体" w:eastAsia="宋体" w:cs="宋体"/>
          <w:color w:val="auto"/>
          <w:sz w:val="24"/>
          <w:szCs w:val="24"/>
          <w:highlight w:val="none"/>
        </w:rPr>
        <w:t>费用，不再另外支付项目金额外的其他费。</w:t>
      </w:r>
    </w:p>
    <w:p>
      <w:pPr>
        <w:pStyle w:val="16"/>
        <w:tabs>
          <w:tab w:val="left" w:pos="8360"/>
        </w:tabs>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rPr>
        <w:t>本次采购数量为暂定数量，采购人有权根据实际需求调整采购数量，不保证最终采购数量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以实际最终供货数量按投标单价进行结算。</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79" w:lineRule="auto"/>
        <w:ind w:left="432" w:leftChars="0" w:right="0" w:rightChars="0" w:hanging="432" w:firstLineChars="0"/>
        <w:jc w:val="both"/>
        <w:textAlignment w:val="auto"/>
        <w:outlineLvl w:val="0"/>
        <w:rPr>
          <w:rFonts w:hint="default"/>
          <w:color w:val="auto"/>
          <w:sz w:val="28"/>
          <w:szCs w:val="28"/>
          <w:lang w:val="en-US" w:eastAsia="zh-CN"/>
        </w:rPr>
      </w:pPr>
      <w:r>
        <w:rPr>
          <w:rFonts w:hint="eastAsia"/>
          <w:color w:val="auto"/>
          <w:sz w:val="28"/>
          <w:szCs w:val="28"/>
          <w:lang w:val="en-US" w:eastAsia="zh-CN"/>
        </w:rPr>
        <w:t>2.2</w:t>
      </w:r>
      <w:r>
        <w:rPr>
          <w:rFonts w:hint="default"/>
          <w:color w:val="auto"/>
          <w:sz w:val="28"/>
          <w:szCs w:val="28"/>
          <w:lang w:val="en-US" w:eastAsia="zh-CN"/>
        </w:rPr>
        <w:t>质量验收标准</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480" w:firstLineChars="200"/>
        <w:textAlignment w:val="auto"/>
        <w:rPr>
          <w:rFonts w:hint="default"/>
          <w:color w:val="auto"/>
          <w:lang w:val="en-US" w:eastAsia="zh-CN"/>
        </w:rPr>
      </w:pPr>
      <w:r>
        <w:rPr>
          <w:rFonts w:hint="default" w:ascii="宋体" w:hAnsi="宋体" w:eastAsia="宋体" w:cs="Times New Roman"/>
          <w:color w:val="auto"/>
          <w:kern w:val="2"/>
          <w:sz w:val="24"/>
          <w:szCs w:val="24"/>
          <w:lang w:val="en-US" w:eastAsia="zh-CN" w:bidi="ar-SA"/>
        </w:rPr>
        <w:t>验收依据：招标文件、投标文件、厂家货物技术标准说明，以及国家有关的质量标准规定、行业标准及规范要求均为验收依据。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color w:val="auto"/>
          <w:sz w:val="24"/>
          <w:szCs w:val="24"/>
        </w:rPr>
      </w:pPr>
      <w:r>
        <w:rPr>
          <w:rFonts w:hint="eastAsia" w:ascii="宋体" w:hAnsi="宋体" w:cs="Times New Roman"/>
          <w:color w:val="auto"/>
          <w:kern w:val="2"/>
          <w:sz w:val="24"/>
          <w:szCs w:val="24"/>
          <w:lang w:val="en-US" w:eastAsia="zh-CN" w:bidi="ar-SA"/>
        </w:rPr>
        <w:t>2、</w:t>
      </w:r>
      <w:r>
        <w:rPr>
          <w:rFonts w:hint="default" w:ascii="宋体" w:hAnsi="宋体" w:eastAsia="宋体" w:cs="Times New Roman"/>
          <w:color w:val="auto"/>
          <w:kern w:val="2"/>
          <w:sz w:val="24"/>
          <w:szCs w:val="24"/>
          <w:lang w:val="en-US" w:eastAsia="zh-CN" w:bidi="ar-SA"/>
        </w:rPr>
        <w:t>验收</w:t>
      </w:r>
      <w:r>
        <w:rPr>
          <w:rFonts w:hint="eastAsia" w:ascii="宋体" w:hAnsi="宋体" w:cs="Times New Roman"/>
          <w:color w:val="auto"/>
          <w:kern w:val="2"/>
          <w:sz w:val="24"/>
          <w:szCs w:val="24"/>
          <w:lang w:val="en-US" w:eastAsia="zh-CN" w:bidi="ar-SA"/>
        </w:rPr>
        <w:t>标准</w:t>
      </w:r>
      <w:r>
        <w:rPr>
          <w:rFonts w:hint="default" w:ascii="宋体" w:hAnsi="宋体" w:eastAsia="宋体" w:cs="Times New Roman"/>
          <w:color w:val="auto"/>
          <w:kern w:val="2"/>
          <w:sz w:val="24"/>
          <w:szCs w:val="24"/>
          <w:lang w:val="en-US" w:eastAsia="zh-CN" w:bidi="ar-SA"/>
        </w:rPr>
        <w:t>：中标</w:t>
      </w:r>
      <w:r>
        <w:rPr>
          <w:rFonts w:hint="eastAsia" w:ascii="宋体" w:hAnsi="宋体" w:eastAsia="宋体" w:cs="Times New Roman"/>
          <w:color w:val="auto"/>
          <w:kern w:val="2"/>
          <w:sz w:val="24"/>
          <w:szCs w:val="24"/>
          <w:lang w:val="en-US" w:eastAsia="zh-CN" w:bidi="ar-SA"/>
        </w:rPr>
        <w:t>方</w:t>
      </w:r>
      <w:r>
        <w:rPr>
          <w:rFonts w:hint="default" w:ascii="宋体" w:hAnsi="宋体" w:eastAsia="宋体" w:cs="Times New Roman"/>
          <w:color w:val="auto"/>
          <w:kern w:val="2"/>
          <w:sz w:val="24"/>
          <w:szCs w:val="24"/>
          <w:lang w:val="en-US" w:eastAsia="zh-CN" w:bidi="ar-SA"/>
        </w:rPr>
        <w:t>根据招标要求进行安装、调试、测试后，由</w:t>
      </w:r>
      <w:r>
        <w:rPr>
          <w:rFonts w:hint="eastAsia" w:ascii="宋体" w:hAnsi="宋体" w:eastAsia="宋体" w:cs="Times New Roman"/>
          <w:color w:val="auto"/>
          <w:kern w:val="2"/>
          <w:sz w:val="24"/>
          <w:szCs w:val="24"/>
          <w:lang w:val="en-US" w:eastAsia="zh-CN" w:bidi="ar-SA"/>
        </w:rPr>
        <w:t>采购方</w:t>
      </w:r>
      <w:r>
        <w:rPr>
          <w:rFonts w:hint="default" w:ascii="宋体" w:hAnsi="宋体" w:eastAsia="宋体" w:cs="Times New Roman"/>
          <w:color w:val="auto"/>
          <w:kern w:val="2"/>
          <w:sz w:val="24"/>
          <w:szCs w:val="24"/>
          <w:lang w:val="en-US" w:eastAsia="zh-CN" w:bidi="ar-SA"/>
        </w:rPr>
        <w:t>进行使用性能方面的验收。</w:t>
      </w:r>
    </w:p>
    <w:p>
      <w:pPr>
        <w:spacing w:line="360" w:lineRule="auto"/>
        <w:outlineLvl w:val="1"/>
        <w:rPr>
          <w:rFonts w:ascii="宋体"/>
          <w:b/>
          <w:bCs/>
          <w:color w:val="auto"/>
          <w:sz w:val="24"/>
          <w:szCs w:val="24"/>
        </w:rPr>
      </w:pPr>
      <w:r>
        <w:rPr>
          <w:rFonts w:hint="eastAsia" w:ascii="宋体" w:hAnsi="宋体" w:cs="宋体"/>
          <w:b/>
          <w:bCs/>
          <w:color w:val="auto"/>
          <w:sz w:val="24"/>
          <w:szCs w:val="24"/>
          <w:lang w:eastAsia="zh-CN"/>
        </w:rPr>
        <w:t>三</w:t>
      </w:r>
      <w:r>
        <w:rPr>
          <w:rFonts w:hint="eastAsia" w:ascii="宋体" w:hAnsi="宋体" w:cs="宋体"/>
          <w:b/>
          <w:bCs/>
          <w:color w:val="auto"/>
          <w:sz w:val="24"/>
          <w:szCs w:val="24"/>
        </w:rPr>
        <w:t>、商务条件</w:t>
      </w:r>
      <w:bookmarkEnd w:id="48"/>
    </w:p>
    <w:p>
      <w:pPr>
        <w:spacing w:line="360" w:lineRule="auto"/>
        <w:rPr>
          <w:color w:val="auto"/>
        </w:rPr>
      </w:pPr>
      <w:r>
        <w:rPr>
          <w:rFonts w:hint="eastAsia" w:ascii="宋体" w:hAnsi="宋体" w:cs="宋体"/>
          <w:b/>
          <w:bCs/>
          <w:color w:val="auto"/>
          <w:sz w:val="24"/>
          <w:szCs w:val="24"/>
        </w:rPr>
        <w:t>（一）交付、验收及支付方式</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1、交付地点：龙岩学院</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2、交付时间：合同</w:t>
      </w:r>
      <w:r>
        <w:rPr>
          <w:rFonts w:hint="eastAsia" w:ascii="宋体" w:hAnsi="宋体" w:cs="宋体"/>
          <w:b w:val="0"/>
          <w:bCs w:val="0"/>
          <w:color w:val="auto"/>
          <w:sz w:val="24"/>
          <w:szCs w:val="24"/>
          <w:lang w:eastAsia="zh-CN"/>
        </w:rPr>
        <w:t>签</w:t>
      </w:r>
      <w:r>
        <w:rPr>
          <w:rFonts w:hint="eastAsia" w:ascii="宋体" w:hAnsi="宋体" w:cs="宋体"/>
          <w:b w:val="0"/>
          <w:bCs w:val="0"/>
          <w:color w:val="auto"/>
          <w:sz w:val="24"/>
          <w:szCs w:val="24"/>
          <w:highlight w:val="none"/>
          <w:lang w:eastAsia="zh-CN"/>
        </w:rPr>
        <w:t>订后（</w:t>
      </w:r>
      <w:r>
        <w:rPr>
          <w:rFonts w:hint="eastAsia" w:ascii="宋体" w:hAnsi="宋体" w:cs="宋体"/>
          <w:b w:val="0"/>
          <w:bCs w:val="0"/>
          <w:color w:val="auto"/>
          <w:sz w:val="24"/>
          <w:szCs w:val="24"/>
          <w:highlight w:val="none"/>
          <w:lang w:val="en-US" w:eastAsia="zh-CN"/>
        </w:rPr>
        <w:t>180</w:t>
      </w:r>
      <w:r>
        <w:rPr>
          <w:rFonts w:hint="eastAsia" w:ascii="宋体" w:hAnsi="宋体" w:eastAsia="宋体" w:cs="宋体"/>
          <w:b w:val="0"/>
          <w:bCs w:val="0"/>
          <w:color w:val="auto"/>
          <w:sz w:val="24"/>
          <w:szCs w:val="24"/>
          <w:highlight w:val="none"/>
        </w:rPr>
        <w:t xml:space="preserve"> </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天</w:t>
      </w:r>
      <w:r>
        <w:rPr>
          <w:rFonts w:hint="eastAsia" w:ascii="宋体" w:hAnsi="宋体" w:cs="宋体"/>
          <w:b w:val="0"/>
          <w:bCs w:val="0"/>
          <w:color w:val="auto"/>
          <w:sz w:val="24"/>
          <w:szCs w:val="24"/>
          <w:lang w:eastAsia="zh-CN"/>
        </w:rPr>
        <w:t>内完成货物交货及安装调试工作</w:t>
      </w:r>
      <w:r>
        <w:rPr>
          <w:rFonts w:hint="eastAsia" w:ascii="宋体" w:hAnsi="宋体" w:eastAsia="宋体" w:cs="宋体"/>
          <w:b w:val="0"/>
          <w:bCs w:val="0"/>
          <w:color w:val="auto"/>
          <w:sz w:val="24"/>
          <w:szCs w:val="24"/>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3、交付条件：验收合格</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4、是否收取履约保证金：否</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5、是否邀请投标人参与验收：否</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firstLine="420" w:firstLineChars="175"/>
        <w:textAlignment w:val="auto"/>
        <w:rPr>
          <w:rFonts w:hint="eastAsia"/>
          <w:color w:val="auto"/>
        </w:rPr>
      </w:pPr>
      <w:r>
        <w:rPr>
          <w:rFonts w:hint="eastAsia" w:ascii="宋体" w:hAnsi="宋体" w:eastAsia="宋体" w:cs="宋体"/>
          <w:b w:val="0"/>
          <w:bCs w:val="0"/>
          <w:color w:val="auto"/>
          <w:sz w:val="24"/>
          <w:szCs w:val="24"/>
        </w:rPr>
        <w:t>6、验收方式数据表格</w:t>
      </w:r>
    </w:p>
    <w:tbl>
      <w:tblPr>
        <w:tblStyle w:val="29"/>
        <w:tblW w:w="8320"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98"/>
        <w:gridCol w:w="70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0" w:hRule="atLeast"/>
          <w:tblHeader/>
          <w:tblCellSpacing w:w="0" w:type="dxa"/>
        </w:trPr>
        <w:tc>
          <w:tcPr>
            <w:tcW w:w="129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验收期次</w:t>
            </w:r>
          </w:p>
        </w:tc>
        <w:tc>
          <w:tcPr>
            <w:tcW w:w="702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9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702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numPr>
                <w:ilvl w:val="0"/>
                <w:numId w:val="14"/>
              </w:numPr>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按招标文件、投标文件和合同进行验收；</w:t>
            </w:r>
          </w:p>
          <w:p>
            <w:pPr>
              <w:keepNext w:val="0"/>
              <w:keepLines w:val="0"/>
              <w:pageBreakBefore w:val="0"/>
              <w:widowControl/>
              <w:numPr>
                <w:ilvl w:val="0"/>
                <w:numId w:val="14"/>
              </w:numPr>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通过采购单位组织的专家验收</w:t>
            </w:r>
            <w:r>
              <w:rPr>
                <w:rFonts w:hint="eastAsia" w:ascii="宋体" w:hAnsi="宋体" w:eastAsia="宋体" w:cs="宋体"/>
                <w:color w:val="auto"/>
                <w:sz w:val="24"/>
                <w:szCs w:val="24"/>
              </w:rPr>
              <w:t>。</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支付方式数据表格</w:t>
      </w:r>
    </w:p>
    <w:tbl>
      <w:tblPr>
        <w:tblStyle w:val="29"/>
        <w:tblW w:w="831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8"/>
        <w:gridCol w:w="1528"/>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jc w:val="center"/>
        </w:trPr>
        <w:tc>
          <w:tcPr>
            <w:tcW w:w="1528" w:type="dxa"/>
            <w:vAlign w:val="center"/>
          </w:tcPr>
          <w:p>
            <w:pPr>
              <w:widowControl/>
              <w:spacing w:line="360" w:lineRule="exact"/>
              <w:jc w:val="center"/>
              <w:rPr>
                <w:rFonts w:ascii="宋体"/>
                <w:color w:val="auto"/>
                <w:sz w:val="24"/>
                <w:szCs w:val="24"/>
              </w:rPr>
            </w:pPr>
            <w:r>
              <w:rPr>
                <w:rFonts w:hint="eastAsia" w:ascii="宋体" w:hAnsi="宋体" w:cs="宋体"/>
                <w:color w:val="auto"/>
                <w:kern w:val="0"/>
                <w:sz w:val="24"/>
                <w:szCs w:val="24"/>
              </w:rPr>
              <w:t>支付期次</w:t>
            </w:r>
          </w:p>
        </w:tc>
        <w:tc>
          <w:tcPr>
            <w:tcW w:w="1528" w:type="dxa"/>
            <w:vAlign w:val="center"/>
          </w:tcPr>
          <w:p>
            <w:pPr>
              <w:widowControl/>
              <w:spacing w:line="360" w:lineRule="exact"/>
              <w:jc w:val="center"/>
              <w:rPr>
                <w:rFonts w:ascii="宋体"/>
                <w:color w:val="auto"/>
                <w:sz w:val="24"/>
                <w:szCs w:val="24"/>
              </w:rPr>
            </w:pPr>
            <w:r>
              <w:rPr>
                <w:rFonts w:hint="eastAsia" w:ascii="宋体" w:hAnsi="宋体" w:cs="宋体"/>
                <w:color w:val="auto"/>
                <w:kern w:val="0"/>
                <w:sz w:val="24"/>
                <w:szCs w:val="24"/>
              </w:rPr>
              <w:t>支付比例</w:t>
            </w:r>
            <w:r>
              <w:rPr>
                <w:rFonts w:ascii="宋体" w:hAnsi="宋体" w:cs="宋体"/>
                <w:color w:val="auto"/>
                <w:kern w:val="0"/>
                <w:sz w:val="24"/>
                <w:szCs w:val="24"/>
              </w:rPr>
              <w:t>(%)</w:t>
            </w:r>
          </w:p>
        </w:tc>
        <w:tc>
          <w:tcPr>
            <w:tcW w:w="5260" w:type="dxa"/>
            <w:vAlign w:val="center"/>
          </w:tcPr>
          <w:p>
            <w:pPr>
              <w:widowControl/>
              <w:spacing w:line="360" w:lineRule="exact"/>
              <w:jc w:val="center"/>
              <w:rPr>
                <w:rFonts w:ascii="宋体"/>
                <w:color w:val="auto"/>
                <w:sz w:val="24"/>
                <w:szCs w:val="24"/>
              </w:rPr>
            </w:pPr>
            <w:r>
              <w:rPr>
                <w:rFonts w:hint="eastAsia" w:ascii="宋体" w:hAnsi="宋体" w:cs="宋体"/>
                <w:color w:val="auto"/>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blCellSpacing w:w="0" w:type="dxa"/>
          <w:jc w:val="center"/>
        </w:trPr>
        <w:tc>
          <w:tcPr>
            <w:tcW w:w="1528" w:type="dxa"/>
            <w:shd w:val="clear" w:color="auto" w:fill="FFFFFF"/>
            <w:vAlign w:val="center"/>
          </w:tcPr>
          <w:p>
            <w:pPr>
              <w:widowControl/>
              <w:jc w:val="center"/>
              <w:rPr>
                <w:rFonts w:ascii="宋体"/>
                <w:color w:val="auto"/>
                <w:sz w:val="24"/>
                <w:szCs w:val="24"/>
              </w:rPr>
            </w:pPr>
            <w:r>
              <w:rPr>
                <w:rFonts w:hint="eastAsia" w:ascii="宋体" w:hAnsi="宋体" w:cs="宋体"/>
                <w:color w:val="auto"/>
                <w:kern w:val="0"/>
                <w:sz w:val="24"/>
                <w:szCs w:val="24"/>
              </w:rPr>
              <w:t>1</w:t>
            </w:r>
          </w:p>
        </w:tc>
        <w:tc>
          <w:tcPr>
            <w:tcW w:w="1528" w:type="dxa"/>
            <w:shd w:val="clear" w:color="auto" w:fill="FFFFFF"/>
            <w:vAlign w:val="center"/>
          </w:tcPr>
          <w:p>
            <w:pPr>
              <w:widowControl/>
              <w:jc w:val="center"/>
              <w:rPr>
                <w:rFonts w:ascii="宋体"/>
                <w:color w:val="auto"/>
                <w:sz w:val="24"/>
                <w:szCs w:val="24"/>
              </w:rPr>
            </w:pPr>
            <w:r>
              <w:rPr>
                <w:rFonts w:hint="eastAsia" w:ascii="宋体" w:hAnsi="宋体" w:cs="宋体"/>
                <w:color w:val="auto"/>
                <w:kern w:val="0"/>
                <w:sz w:val="24"/>
                <w:szCs w:val="24"/>
              </w:rPr>
              <w:t>95</w:t>
            </w:r>
            <w:r>
              <w:rPr>
                <w:rFonts w:ascii="宋体" w:hAnsi="宋体" w:cs="宋体"/>
                <w:color w:val="auto"/>
                <w:kern w:val="0"/>
                <w:sz w:val="24"/>
                <w:szCs w:val="24"/>
              </w:rPr>
              <w:t>%</w:t>
            </w:r>
          </w:p>
        </w:tc>
        <w:tc>
          <w:tcPr>
            <w:tcW w:w="5260" w:type="dxa"/>
            <w:shd w:val="clear" w:color="auto" w:fill="FFFFFF"/>
            <w:vAlign w:val="center"/>
          </w:tcPr>
          <w:p>
            <w:pPr>
              <w:spacing w:line="360" w:lineRule="auto"/>
              <w:jc w:val="center"/>
              <w:rPr>
                <w:rFonts w:cs="宋体"/>
                <w:color w:val="auto"/>
                <w:sz w:val="24"/>
                <w:szCs w:val="24"/>
              </w:rPr>
            </w:pPr>
            <w:r>
              <w:rPr>
                <w:rFonts w:cs="宋体"/>
                <w:color w:val="auto"/>
                <w:sz w:val="24"/>
                <w:szCs w:val="24"/>
              </w:rPr>
              <w:t>项目经验收合格后30天内支付合同总货款的9</w:t>
            </w:r>
            <w:r>
              <w:rPr>
                <w:rFonts w:hint="eastAsia" w:cs="宋体"/>
                <w:color w:val="auto"/>
                <w:sz w:val="24"/>
                <w:szCs w:val="24"/>
              </w:rPr>
              <w:t>5</w:t>
            </w:r>
            <w:r>
              <w:rPr>
                <w:rFonts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blCellSpacing w:w="0" w:type="dxa"/>
          <w:jc w:val="center"/>
        </w:trPr>
        <w:tc>
          <w:tcPr>
            <w:tcW w:w="1528" w:type="dxa"/>
            <w:shd w:val="clear" w:color="auto"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w:t>
            </w:r>
          </w:p>
        </w:tc>
        <w:tc>
          <w:tcPr>
            <w:tcW w:w="1528" w:type="dxa"/>
            <w:shd w:val="clear" w:color="auto" w:fill="FFFFFF"/>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5%</w:t>
            </w:r>
          </w:p>
        </w:tc>
        <w:tc>
          <w:tcPr>
            <w:tcW w:w="5260" w:type="dxa"/>
            <w:shd w:val="clear" w:color="auto" w:fill="FFFFFF"/>
            <w:vAlign w:val="center"/>
          </w:tcPr>
          <w:p>
            <w:pPr>
              <w:spacing w:line="360" w:lineRule="auto"/>
              <w:jc w:val="left"/>
              <w:rPr>
                <w:rFonts w:cs="宋体"/>
                <w:color w:val="auto"/>
                <w:sz w:val="24"/>
                <w:szCs w:val="24"/>
              </w:rPr>
            </w:pPr>
            <w:r>
              <w:rPr>
                <w:rFonts w:cs="宋体"/>
                <w:color w:val="auto"/>
                <w:sz w:val="24"/>
                <w:szCs w:val="24"/>
              </w:rPr>
              <w:t>余款</w:t>
            </w:r>
            <w:r>
              <w:rPr>
                <w:rFonts w:hint="eastAsia" w:cs="宋体"/>
                <w:color w:val="auto"/>
                <w:sz w:val="24"/>
                <w:szCs w:val="24"/>
              </w:rPr>
              <w:t>5%</w:t>
            </w:r>
            <w:r>
              <w:rPr>
                <w:rFonts w:cs="宋体"/>
                <w:color w:val="auto"/>
                <w:sz w:val="24"/>
                <w:szCs w:val="24"/>
              </w:rPr>
              <w:t>于</w:t>
            </w:r>
            <w:r>
              <w:rPr>
                <w:rFonts w:hint="eastAsia" w:cs="宋体"/>
                <w:color w:val="auto"/>
                <w:sz w:val="24"/>
                <w:szCs w:val="24"/>
              </w:rPr>
              <w:t>试运行期1年，试运行期满后进行最终验收</w:t>
            </w:r>
            <w:r>
              <w:rPr>
                <w:rFonts w:cs="宋体"/>
                <w:color w:val="auto"/>
                <w:sz w:val="24"/>
                <w:szCs w:val="24"/>
              </w:rPr>
              <w:t>验收合格后30天内一次性付清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tblCellSpacing w:w="0" w:type="dxa"/>
          <w:jc w:val="center"/>
        </w:trPr>
        <w:tc>
          <w:tcPr>
            <w:tcW w:w="8316" w:type="dxa"/>
            <w:gridSpan w:val="3"/>
            <w:vAlign w:val="center"/>
          </w:tcPr>
          <w:p>
            <w:pPr>
              <w:pStyle w:val="16"/>
              <w:spacing w:line="360" w:lineRule="auto"/>
              <w:jc w:val="both"/>
              <w:rPr>
                <w:rFonts w:hAnsi="宋体"/>
                <w:color w:val="auto"/>
                <w:sz w:val="24"/>
                <w:szCs w:val="24"/>
              </w:rPr>
            </w:pPr>
            <w:r>
              <w:rPr>
                <w:rFonts w:hint="eastAsia" w:hAnsi="宋体"/>
                <w:color w:val="auto"/>
                <w:sz w:val="24"/>
                <w:szCs w:val="24"/>
              </w:rPr>
              <w:t>注：</w:t>
            </w:r>
            <w:r>
              <w:rPr>
                <w:rFonts w:hint="eastAsia" w:hAnsi="宋体"/>
                <w:color w:val="auto"/>
                <w:sz w:val="24"/>
              </w:rPr>
              <w:t>本项目安装调试完毕经采购人验收合格后，成交供应商需开具</w:t>
            </w:r>
            <w:r>
              <w:rPr>
                <w:rFonts w:hint="eastAsia" w:hAnsi="宋体"/>
                <w:color w:val="auto"/>
                <w:kern w:val="0"/>
                <w:sz w:val="24"/>
              </w:rPr>
              <w:t>总结算款100%的</w:t>
            </w:r>
            <w:r>
              <w:rPr>
                <w:rFonts w:hint="eastAsia" w:hAnsi="宋体"/>
                <w:color w:val="auto"/>
                <w:sz w:val="24"/>
              </w:rPr>
              <w:t>正式发票。</w:t>
            </w:r>
          </w:p>
        </w:tc>
      </w:tr>
    </w:tbl>
    <w:p>
      <w:pPr>
        <w:spacing w:line="360" w:lineRule="auto"/>
        <w:rPr>
          <w:rFonts w:hint="eastAsia" w:ascii="宋体" w:hAnsi="宋体" w:cs="宋体"/>
          <w:b/>
          <w:bCs/>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（二）售后服务要求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1.质保期要求为最终验收合格后三年，中标方需提供7*24小时热线电话支持服务。在质保期内设备运行发生故障时，中标方在接到采购方故障通知后4小时内响应，提供48小时内解决故障、维修或更换故障设备等服务。若48小时内无法排除故障，中标方需提供故障设备同规格型号的备用设备进行更换，直至故障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2、</w:t>
      </w:r>
      <w:r>
        <w:rPr>
          <w:rFonts w:hint="default" w:ascii="宋体" w:hAnsi="宋体" w:eastAsia="宋体" w:cs="Times New Roman"/>
          <w:color w:val="auto"/>
          <w:kern w:val="2"/>
          <w:sz w:val="24"/>
          <w:szCs w:val="24"/>
          <w:lang w:val="en-US" w:eastAsia="zh-CN" w:bidi="ar-SA"/>
        </w:rPr>
        <w:t>投标货物必须符合生产国、制造商、原品牌设备、原厂原包装的要求，技术指标应符合产品制造商公布的标准和我国国内相关标准。所有设备均须标明 功能、使用说明、所含附件及其用途。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ascii="宋体" w:hAnsi="宋体" w:cs="Times New Roman"/>
          <w:color w:val="auto"/>
          <w:kern w:val="2"/>
          <w:sz w:val="24"/>
          <w:szCs w:val="24"/>
          <w:lang w:val="en-US" w:eastAsia="zh-CN" w:bidi="ar-SA"/>
        </w:rPr>
        <w:t>3、</w:t>
      </w:r>
      <w:r>
        <w:rPr>
          <w:rFonts w:hint="default" w:ascii="宋体" w:hAnsi="宋体" w:eastAsia="宋体" w:cs="Times New Roman"/>
          <w:color w:val="auto"/>
          <w:kern w:val="2"/>
          <w:sz w:val="24"/>
          <w:szCs w:val="24"/>
          <w:lang w:val="en-US" w:eastAsia="zh-CN" w:bidi="ar-SA"/>
        </w:rPr>
        <w:t>中标</w:t>
      </w:r>
      <w:r>
        <w:rPr>
          <w:rFonts w:hint="eastAsia" w:ascii="宋体" w:hAnsi="宋体" w:eastAsia="宋体" w:cs="Times New Roman"/>
          <w:color w:val="auto"/>
          <w:kern w:val="2"/>
          <w:sz w:val="24"/>
          <w:szCs w:val="24"/>
          <w:lang w:val="en-US" w:eastAsia="zh-CN" w:bidi="ar-SA"/>
        </w:rPr>
        <w:t>方</w:t>
      </w:r>
      <w:r>
        <w:rPr>
          <w:rFonts w:hint="default" w:ascii="宋体" w:hAnsi="宋体" w:eastAsia="宋体" w:cs="Times New Roman"/>
          <w:color w:val="auto"/>
          <w:kern w:val="2"/>
          <w:sz w:val="24"/>
          <w:szCs w:val="24"/>
          <w:lang w:val="en-US" w:eastAsia="zh-CN" w:bidi="ar-SA"/>
        </w:rPr>
        <w:t>按</w:t>
      </w:r>
      <w:r>
        <w:rPr>
          <w:rFonts w:hint="eastAsia" w:ascii="宋体" w:hAnsi="宋体" w:eastAsia="宋体" w:cs="Times New Roman"/>
          <w:color w:val="auto"/>
          <w:kern w:val="2"/>
          <w:sz w:val="24"/>
          <w:szCs w:val="24"/>
          <w:lang w:val="en-US" w:eastAsia="zh-CN" w:bidi="ar-SA"/>
        </w:rPr>
        <w:t>采购方</w:t>
      </w:r>
      <w:r>
        <w:rPr>
          <w:rFonts w:hint="default" w:ascii="宋体" w:hAnsi="宋体" w:eastAsia="宋体" w:cs="Times New Roman"/>
          <w:color w:val="auto"/>
          <w:kern w:val="2"/>
          <w:sz w:val="24"/>
          <w:szCs w:val="24"/>
          <w:lang w:val="en-US" w:eastAsia="zh-CN" w:bidi="ar-SA"/>
        </w:rPr>
        <w:t>要求供货及送货上门。中标</w:t>
      </w:r>
      <w:r>
        <w:rPr>
          <w:rFonts w:hint="eastAsia" w:ascii="宋体" w:hAnsi="宋体" w:eastAsia="宋体" w:cs="Times New Roman"/>
          <w:color w:val="auto"/>
          <w:kern w:val="2"/>
          <w:sz w:val="24"/>
          <w:szCs w:val="24"/>
          <w:lang w:val="en-US" w:eastAsia="zh-CN" w:bidi="ar-SA"/>
        </w:rPr>
        <w:t>方</w:t>
      </w:r>
      <w:r>
        <w:rPr>
          <w:rFonts w:hint="default" w:ascii="宋体" w:hAnsi="宋体" w:eastAsia="宋体" w:cs="Times New Roman"/>
          <w:color w:val="auto"/>
          <w:kern w:val="2"/>
          <w:sz w:val="24"/>
          <w:szCs w:val="24"/>
          <w:lang w:val="en-US" w:eastAsia="zh-CN" w:bidi="ar-SA"/>
        </w:rPr>
        <w:t>在发货之前，对货物的有关内在和外观质量、规格、性能、数量和重量及技术参数进行准确的和全面的检验。</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Times New Roman"/>
          <w:color w:val="auto"/>
          <w:kern w:val="2"/>
          <w:sz w:val="24"/>
          <w:szCs w:val="24"/>
          <w:lang w:val="en-US" w:eastAsia="zh-CN" w:bidi="ar-SA"/>
        </w:rPr>
        <w:t>4.培训要求：货物完成安装调试并验收合格后，中标方应承诺为采购方的使用人员进行有关系统的使用、维护、保养等方面的培训指导，所需费用包含在投标总价中，采购方不再另行支付任何费用。</w:t>
      </w:r>
    </w:p>
    <w:p>
      <w:pPr>
        <w:spacing w:line="360" w:lineRule="auto"/>
        <w:rPr>
          <w:rFonts w:ascii="宋体"/>
          <w:b/>
          <w:bCs/>
          <w:color w:val="auto"/>
          <w:sz w:val="24"/>
          <w:szCs w:val="24"/>
        </w:rPr>
      </w:pPr>
      <w:r>
        <w:rPr>
          <w:rFonts w:hint="eastAsia" w:ascii="宋体" w:hAnsi="宋体" w:cs="宋体"/>
          <w:b/>
          <w:bCs/>
          <w:color w:val="auto"/>
          <w:sz w:val="24"/>
          <w:szCs w:val="24"/>
        </w:rPr>
        <w:t>（三）、其他要求</w:t>
      </w:r>
    </w:p>
    <w:p>
      <w:pPr>
        <w:spacing w:line="360" w:lineRule="auto"/>
        <w:ind w:firstLine="480" w:firstLineChars="200"/>
        <w:rPr>
          <w:rFonts w:ascii="宋体"/>
          <w:color w:val="auto"/>
          <w:kern w:val="0"/>
          <w:sz w:val="28"/>
          <w:szCs w:val="28"/>
        </w:rPr>
      </w:pPr>
      <w:r>
        <w:rPr>
          <w:rFonts w:ascii="宋体" w:hAnsi="宋体" w:cs="宋体"/>
          <w:color w:val="auto"/>
          <w:sz w:val="24"/>
          <w:szCs w:val="24"/>
        </w:rPr>
        <w:t>1</w:t>
      </w:r>
      <w:r>
        <w:rPr>
          <w:rFonts w:hint="eastAsia" w:ascii="宋体" w:hAnsi="宋体" w:cs="宋体"/>
          <w:color w:val="auto"/>
          <w:sz w:val="24"/>
          <w:szCs w:val="24"/>
        </w:rPr>
        <w:t>、成交供应商不得将项目分包或转包给他人，一经采购单位发现，有权终止合同。</w:t>
      </w:r>
    </w:p>
    <w:p>
      <w:pPr>
        <w:spacing w:line="360" w:lineRule="auto"/>
        <w:ind w:firstLine="480" w:firstLineChars="200"/>
        <w:rPr>
          <w:rFonts w:ascii="宋体"/>
          <w:color w:val="auto"/>
          <w:sz w:val="24"/>
          <w:szCs w:val="24"/>
        </w:rPr>
      </w:pPr>
      <w:r>
        <w:rPr>
          <w:rFonts w:hint="eastAsia" w:ascii="宋体" w:hAnsi="宋体" w:cs="宋体"/>
          <w:color w:val="auto"/>
          <w:sz w:val="24"/>
          <w:szCs w:val="24"/>
        </w:rPr>
        <w:t>2、供应商所投报的货物必须符合国家对有关产品的相关标准的规定。</w:t>
      </w:r>
    </w:p>
    <w:p>
      <w:pPr>
        <w:spacing w:line="360" w:lineRule="auto"/>
        <w:ind w:firstLine="480" w:firstLineChars="200"/>
        <w:rPr>
          <w:rFonts w:ascii="宋体" w:hAnsi="宋体" w:cs="宋体"/>
          <w:b/>
          <w:bCs/>
          <w:color w:val="auto"/>
          <w:sz w:val="24"/>
          <w:szCs w:val="24"/>
        </w:rPr>
      </w:pPr>
      <w:r>
        <w:rPr>
          <w:rFonts w:hint="eastAsia" w:ascii="宋体" w:hAnsi="宋体" w:cs="宋体"/>
          <w:color w:val="auto"/>
          <w:sz w:val="24"/>
          <w:szCs w:val="24"/>
        </w:rPr>
        <w:t>3、除询价通知书另有规定外，若出现有关法律、法规和规章有强制性规定但询价通知书未列明的情形，则供应商应按照有关法律、法规和规章强制性规定执行。</w:t>
      </w:r>
    </w:p>
    <w:p>
      <w:pPr>
        <w:spacing w:line="360" w:lineRule="auto"/>
        <w:ind w:firstLine="482" w:firstLineChars="200"/>
        <w:jc w:val="left"/>
        <w:rPr>
          <w:rFonts w:hAnsi="宋体"/>
          <w:b/>
          <w:bCs/>
          <w:color w:val="auto"/>
          <w:sz w:val="24"/>
          <w:szCs w:val="24"/>
        </w:rPr>
      </w:pPr>
      <w:r>
        <w:rPr>
          <w:rFonts w:hint="eastAsia" w:hAnsi="宋体" w:cs="宋体"/>
          <w:b/>
          <w:bCs/>
          <w:color w:val="auto"/>
          <w:sz w:val="24"/>
          <w:szCs w:val="24"/>
        </w:rPr>
        <w:t>备注：</w:t>
      </w:r>
    </w:p>
    <w:p>
      <w:pPr>
        <w:spacing w:line="360" w:lineRule="auto"/>
        <w:ind w:firstLine="482" w:firstLineChars="200"/>
        <w:jc w:val="left"/>
        <w:rPr>
          <w:rFonts w:hAnsi="宋体"/>
          <w:b/>
          <w:bCs/>
          <w:color w:val="auto"/>
          <w:sz w:val="24"/>
          <w:szCs w:val="24"/>
        </w:rPr>
      </w:pPr>
      <w:r>
        <w:rPr>
          <w:rFonts w:hAnsi="宋体"/>
          <w:b/>
          <w:bCs/>
          <w:color w:val="auto"/>
          <w:sz w:val="24"/>
          <w:szCs w:val="24"/>
        </w:rPr>
        <w:t>1.</w:t>
      </w:r>
      <w:r>
        <w:rPr>
          <w:rFonts w:hint="eastAsia" w:hAnsi="宋体" w:cs="宋体"/>
          <w:b/>
          <w:bCs/>
          <w:color w:val="auto"/>
          <w:sz w:val="24"/>
          <w:szCs w:val="24"/>
        </w:rPr>
        <w:t>供应商投报时须实质性满足《第三章询价内容及要求》“二、技术参数及要求”、“三、商务条件”的所有要求，否则视为重大偏离，报价无效。成交供应商如无法按上述要求实施的，采购人有权终止合同 。</w:t>
      </w:r>
    </w:p>
    <w:p>
      <w:pPr>
        <w:spacing w:line="360" w:lineRule="auto"/>
        <w:ind w:firstLine="482" w:firstLineChars="200"/>
        <w:rPr>
          <w:rFonts w:hAnsi="宋体"/>
          <w:b/>
          <w:bCs/>
          <w:color w:val="auto"/>
          <w:sz w:val="24"/>
          <w:szCs w:val="24"/>
        </w:rPr>
      </w:pPr>
      <w:r>
        <w:rPr>
          <w:rFonts w:hAnsi="宋体"/>
          <w:b/>
          <w:bCs/>
          <w:color w:val="auto"/>
          <w:sz w:val="24"/>
          <w:szCs w:val="24"/>
        </w:rPr>
        <w:t>2.</w:t>
      </w:r>
      <w:r>
        <w:rPr>
          <w:rFonts w:hint="eastAsia" w:hAnsi="宋体" w:cs="宋体"/>
          <w:b/>
          <w:bCs/>
          <w:color w:val="auto"/>
          <w:sz w:val="24"/>
          <w:szCs w:val="24"/>
        </w:rPr>
        <w:t>供应商对“二、技术参数及要求”的响应须在《第五章响应文件格式》（《技术和服务要求响应表》）中逐项响应；对“三、商务条件”供应商完全满足要求的可统一提供承诺函，承诺函详见询价通知书《第五章响应文件格式》。</w:t>
      </w:r>
    </w:p>
    <w:p>
      <w:pPr>
        <w:spacing w:line="360" w:lineRule="auto"/>
        <w:ind w:firstLine="482" w:firstLineChars="200"/>
        <w:rPr>
          <w:rFonts w:hAnsi="宋体" w:cs="宋体"/>
          <w:b/>
          <w:bCs/>
          <w:color w:val="auto"/>
          <w:sz w:val="24"/>
          <w:szCs w:val="24"/>
        </w:rPr>
      </w:pPr>
      <w:r>
        <w:rPr>
          <w:rFonts w:hAnsi="宋体"/>
          <w:b/>
          <w:bCs/>
          <w:color w:val="auto"/>
          <w:sz w:val="24"/>
          <w:szCs w:val="24"/>
        </w:rPr>
        <w:t>3.</w:t>
      </w:r>
      <w:r>
        <w:rPr>
          <w:rFonts w:hint="eastAsia" w:hAnsi="宋体" w:cs="宋体"/>
          <w:b/>
          <w:bCs/>
          <w:color w:val="auto"/>
          <w:sz w:val="24"/>
          <w:szCs w:val="24"/>
        </w:rPr>
        <w:t>供应商须在《第五章询价响应文件格式》“报价分项表”中完整填报所投报的合同包各序号货品的品牌、具体型号、生产产地（定制类的产品可不填写具体型号，但应注明品 牌或生产厂家或制造商），否则投报无效。</w:t>
      </w:r>
    </w:p>
    <w:p>
      <w:pPr>
        <w:pStyle w:val="28"/>
        <w:spacing w:line="360" w:lineRule="auto"/>
        <w:ind w:firstLine="241"/>
        <w:rPr>
          <w:rFonts w:hAnsi="宋体"/>
          <w:b/>
          <w:bCs/>
          <w:color w:val="auto"/>
          <w:kern w:val="2"/>
          <w:sz w:val="24"/>
          <w:szCs w:val="24"/>
        </w:rPr>
      </w:pPr>
    </w:p>
    <w:p>
      <w:pPr>
        <w:rPr>
          <w:rFonts w:hAnsi="宋体"/>
          <w:b/>
          <w:bCs/>
          <w:color w:val="auto"/>
          <w:sz w:val="24"/>
          <w:szCs w:val="24"/>
        </w:rPr>
      </w:pPr>
      <w:r>
        <w:rPr>
          <w:rFonts w:hint="eastAsia" w:hAnsi="宋体"/>
          <w:b/>
          <w:bCs/>
          <w:color w:val="auto"/>
          <w:sz w:val="24"/>
          <w:szCs w:val="24"/>
        </w:rPr>
        <w:br w:type="page"/>
      </w:r>
    </w:p>
    <w:p>
      <w:pPr>
        <w:pStyle w:val="3"/>
        <w:numPr>
          <w:ilvl w:val="0"/>
          <w:numId w:val="0"/>
        </w:numPr>
        <w:rPr>
          <w:color w:val="auto"/>
        </w:rPr>
      </w:pPr>
      <w:bookmarkStart w:id="49" w:name="_Toc21610"/>
      <w:bookmarkStart w:id="50" w:name="_Toc6722"/>
      <w:bookmarkStart w:id="51" w:name="_Toc7513"/>
      <w:r>
        <w:rPr>
          <w:rFonts w:hint="eastAsia" w:cs="宋体"/>
          <w:color w:val="auto"/>
        </w:rPr>
        <w:t>第四章采购合同</w:t>
      </w:r>
      <w:bookmarkEnd w:id="49"/>
      <w:bookmarkEnd w:id="50"/>
      <w:bookmarkEnd w:id="51"/>
    </w:p>
    <w:p>
      <w:pPr>
        <w:pStyle w:val="25"/>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color w:val="auto"/>
          <w:sz w:val="32"/>
          <w:szCs w:val="32"/>
        </w:rPr>
      </w:pPr>
      <w:bookmarkStart w:id="52" w:name="_Toc19851"/>
      <w:bookmarkStart w:id="53" w:name="_Toc4081"/>
      <w:bookmarkStart w:id="54" w:name="_Toc29512"/>
      <w:r>
        <w:rPr>
          <w:rStyle w:val="32"/>
          <w:rFonts w:hint="eastAsia" w:ascii="宋体" w:hAnsi="宋体" w:eastAsia="宋体" w:cs="宋体"/>
          <w:b/>
          <w:bCs/>
          <w:color w:val="auto"/>
          <w:spacing w:val="0"/>
          <w:sz w:val="36"/>
          <w:szCs w:val="36"/>
          <w:lang w:eastAsia="zh-CN"/>
        </w:rPr>
        <w:t>龙岩学院</w:t>
      </w:r>
      <w:r>
        <w:rPr>
          <w:rStyle w:val="32"/>
          <w:rFonts w:hint="eastAsia" w:ascii="宋体" w:hAnsi="宋体" w:eastAsia="宋体" w:cs="宋体"/>
          <w:b/>
          <w:bCs/>
          <w:color w:val="auto"/>
          <w:spacing w:val="0"/>
          <w:sz w:val="36"/>
          <w:szCs w:val="36"/>
        </w:rPr>
        <w:t>采购合同</w:t>
      </w:r>
    </w:p>
    <w:p>
      <w:pPr>
        <w:pStyle w:val="25"/>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color w:val="auto"/>
        </w:rPr>
      </w:pPr>
      <w:r>
        <w:rPr>
          <w:rStyle w:val="32"/>
          <w:rFonts w:hint="eastAsia" w:ascii="宋体" w:hAnsi="宋体" w:eastAsia="宋体" w:cs="宋体"/>
          <w:b/>
          <w:bCs/>
          <w:color w:val="auto"/>
          <w:spacing w:val="0"/>
          <w:sz w:val="24"/>
          <w:szCs w:val="24"/>
        </w:rPr>
        <w:t>编制说明</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color w:val="auto"/>
        </w:rPr>
      </w:pPr>
      <w:r>
        <w:rPr>
          <w:rStyle w:val="32"/>
          <w:rFonts w:hint="eastAsia" w:ascii="宋体" w:hAnsi="宋体" w:eastAsia="宋体" w:cs="宋体"/>
          <w:b/>
          <w:bCs/>
          <w:color w:val="auto"/>
          <w:spacing w:val="0"/>
          <w:sz w:val="24"/>
          <w:szCs w:val="24"/>
        </w:rPr>
        <w:t>1、签订合同应遵守《中华人民共和国民法典》和相关的法律法规。</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color w:val="auto"/>
        </w:rPr>
      </w:pPr>
      <w:r>
        <w:rPr>
          <w:rStyle w:val="32"/>
          <w:rFonts w:hint="eastAsia" w:ascii="宋体" w:hAnsi="宋体" w:eastAsia="宋体" w:cs="宋体"/>
          <w:b/>
          <w:bCs/>
          <w:color w:val="auto"/>
          <w:spacing w:val="0"/>
          <w:sz w:val="24"/>
          <w:szCs w:val="24"/>
        </w:rPr>
        <w:t>2、签订合同时，采购人与中标</w:t>
      </w:r>
      <w:r>
        <w:rPr>
          <w:rStyle w:val="32"/>
          <w:rFonts w:hint="eastAsia" w:ascii="宋体" w:hAnsi="宋体" w:eastAsia="宋体" w:cs="宋体"/>
          <w:b/>
          <w:bCs/>
          <w:color w:val="auto"/>
          <w:spacing w:val="0"/>
          <w:sz w:val="24"/>
          <w:szCs w:val="24"/>
          <w:lang w:eastAsia="zh-CN"/>
        </w:rPr>
        <w:t>供应商</w:t>
      </w:r>
      <w:r>
        <w:rPr>
          <w:rStyle w:val="32"/>
          <w:rFonts w:hint="eastAsia" w:ascii="宋体" w:hAnsi="宋体" w:eastAsia="宋体" w:cs="宋体"/>
          <w:b/>
          <w:bCs/>
          <w:color w:val="auto"/>
          <w:spacing w:val="0"/>
          <w:sz w:val="24"/>
          <w:szCs w:val="24"/>
        </w:rPr>
        <w:t>应结合</w:t>
      </w:r>
      <w:r>
        <w:rPr>
          <w:rStyle w:val="32"/>
          <w:rFonts w:hint="eastAsia" w:ascii="宋体" w:hAnsi="宋体" w:eastAsia="宋体" w:cs="宋体"/>
          <w:b/>
          <w:bCs/>
          <w:color w:val="auto"/>
          <w:spacing w:val="0"/>
          <w:sz w:val="24"/>
          <w:szCs w:val="24"/>
          <w:lang w:eastAsia="zh-CN"/>
        </w:rPr>
        <w:t>采购内容</w:t>
      </w:r>
      <w:r>
        <w:rPr>
          <w:rStyle w:val="32"/>
          <w:rFonts w:hint="eastAsia" w:ascii="宋体" w:hAnsi="宋体" w:eastAsia="宋体" w:cs="宋体"/>
          <w:b/>
          <w:bCs/>
          <w:color w:val="auto"/>
          <w:spacing w:val="0"/>
          <w:sz w:val="24"/>
          <w:szCs w:val="24"/>
        </w:rPr>
        <w:t>填列相应内容。双方均不得变更或调整；未作规定的，双方可通过友好协商进行约定。</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Style w:val="32"/>
          <w:rFonts w:hint="eastAsia" w:ascii="宋体" w:hAnsi="宋体" w:eastAsia="宋体" w:cs="宋体"/>
          <w:b/>
          <w:bCs/>
          <w:color w:val="auto"/>
          <w:spacing w:val="0"/>
          <w:sz w:val="24"/>
          <w:szCs w:val="24"/>
        </w:rPr>
      </w:pPr>
      <w:r>
        <w:rPr>
          <w:rStyle w:val="32"/>
          <w:rFonts w:hint="eastAsia" w:ascii="宋体" w:hAnsi="宋体" w:eastAsia="宋体" w:cs="宋体"/>
          <w:b/>
          <w:bCs/>
          <w:color w:val="auto"/>
          <w:spacing w:val="0"/>
          <w:sz w:val="24"/>
          <w:szCs w:val="24"/>
        </w:rPr>
        <w:t>3、国家有关部门对若干合同有规范文本的，可使用相应合同文本。</w:t>
      </w:r>
    </w:p>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spacing w:val="0"/>
          <w:sz w:val="24"/>
          <w:szCs w:val="24"/>
        </w:rPr>
      </w:pPr>
    </w:p>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u w:val="single"/>
          <w:lang w:val="en-US" w:eastAsia="zh-CN"/>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lang w:val="en-US" w:eastAsia="zh-CN"/>
        </w:rPr>
        <w:t xml:space="preserve">                          </w:t>
      </w:r>
    </w:p>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lang w:val="en-US" w:eastAsia="zh-CN"/>
        </w:rPr>
        <w:t xml:space="preserve">                          </w:t>
      </w:r>
    </w:p>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根据项目编号为</w:t>
      </w:r>
      <w:r>
        <w:rPr>
          <w:rFonts w:hint="eastAsia" w:ascii="宋体" w:hAnsi="宋体" w:eastAsia="宋体" w:cs="宋体"/>
          <w:color w:val="auto"/>
          <w:spacing w:val="0"/>
          <w:sz w:val="24"/>
          <w:szCs w:val="24"/>
          <w:u w:val="single"/>
          <w:lang w:val="en-US" w:eastAsia="zh-CN"/>
        </w:rPr>
        <w:t xml:space="preserve"> （项目编号）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lang w:val="en-US" w:eastAsia="zh-CN"/>
        </w:rPr>
        <w:t xml:space="preserve">  （项目名称）  </w:t>
      </w:r>
      <w:r>
        <w:rPr>
          <w:rFonts w:hint="eastAsia" w:ascii="宋体" w:hAnsi="宋体" w:eastAsia="宋体" w:cs="宋体"/>
          <w:color w:val="auto"/>
          <w:spacing w:val="0"/>
          <w:sz w:val="24"/>
          <w:szCs w:val="24"/>
        </w:rPr>
        <w:t>（以下简称：“本项目”）的</w:t>
      </w:r>
      <w:r>
        <w:rPr>
          <w:rFonts w:hint="eastAsia" w:ascii="宋体" w:hAnsi="宋体" w:eastAsia="宋体" w:cs="宋体"/>
          <w:color w:val="auto"/>
          <w:spacing w:val="0"/>
          <w:sz w:val="24"/>
          <w:szCs w:val="24"/>
          <w:lang w:eastAsia="zh-CN"/>
        </w:rPr>
        <w:t>采购</w:t>
      </w:r>
      <w:r>
        <w:rPr>
          <w:rFonts w:hint="eastAsia" w:ascii="宋体" w:hAnsi="宋体" w:eastAsia="宋体" w:cs="宋体"/>
          <w:color w:val="auto"/>
          <w:spacing w:val="0"/>
          <w:sz w:val="24"/>
          <w:szCs w:val="24"/>
        </w:rPr>
        <w:t>结果，乙方为中标</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。现经甲乙双方友好协商，</w:t>
      </w:r>
      <w:r>
        <w:rPr>
          <w:rFonts w:hint="eastAsia" w:ascii="宋体" w:hAnsi="宋体" w:eastAsia="宋体" w:cs="宋体"/>
          <w:color w:val="auto"/>
          <w:spacing w:val="0"/>
          <w:sz w:val="24"/>
          <w:szCs w:val="24"/>
          <w:lang w:eastAsia="zh-CN"/>
        </w:rPr>
        <w:t>就</w:t>
      </w:r>
      <w:r>
        <w:rPr>
          <w:rFonts w:hint="eastAsia" w:ascii="宋体" w:hAnsi="宋体" w:eastAsia="宋体" w:cs="宋体"/>
          <w:color w:val="auto"/>
          <w:spacing w:val="0"/>
          <w:sz w:val="24"/>
          <w:szCs w:val="24"/>
        </w:rPr>
        <w:t>以下事项达成一致并签订本合同：</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1、下列合同文件是构成本合同不可分割的部分：</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1.1合同条款</w:t>
      </w:r>
      <w:r>
        <w:rPr>
          <w:rFonts w:hint="eastAsia" w:ascii="宋体" w:hAnsi="宋体" w:eastAsia="宋体" w:cs="宋体"/>
          <w:color w:val="auto"/>
          <w:spacing w:val="0"/>
          <w:sz w:val="24"/>
          <w:szCs w:val="24"/>
          <w:lang w:eastAsia="zh-CN"/>
        </w:rPr>
        <w:t>及附件</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1.2</w:t>
      </w:r>
      <w:r>
        <w:rPr>
          <w:rFonts w:hint="eastAsia" w:ascii="宋体" w:hAnsi="宋体" w:eastAsia="宋体" w:cs="宋体"/>
          <w:color w:val="auto"/>
          <w:spacing w:val="0"/>
          <w:sz w:val="24"/>
          <w:szCs w:val="24"/>
          <w:lang w:eastAsia="zh-CN"/>
        </w:rPr>
        <w:t>采购</w:t>
      </w:r>
      <w:r>
        <w:rPr>
          <w:rFonts w:hint="eastAsia" w:ascii="宋体" w:hAnsi="宋体" w:eastAsia="宋体" w:cs="宋体"/>
          <w:color w:val="auto"/>
          <w:spacing w:val="0"/>
          <w:sz w:val="24"/>
          <w:szCs w:val="24"/>
        </w:rPr>
        <w:t>文件</w:t>
      </w:r>
      <w:r>
        <w:rPr>
          <w:rFonts w:hint="eastAsia" w:ascii="宋体" w:hAnsi="宋体" w:eastAsia="宋体" w:cs="宋体"/>
          <w:color w:val="auto"/>
          <w:spacing w:val="0"/>
          <w:sz w:val="24"/>
          <w:szCs w:val="24"/>
          <w:lang w:eastAsia="zh-CN"/>
        </w:rPr>
        <w:t>（</w:t>
      </w:r>
      <w:r>
        <w:rPr>
          <w:rFonts w:hint="eastAsia" w:ascii="宋体" w:hAnsi="宋体" w:eastAsia="宋体" w:cs="宋体"/>
          <w:color w:val="auto"/>
          <w:sz w:val="24"/>
          <w:lang w:eastAsia="zh-CN"/>
        </w:rPr>
        <w:t>如：</w:t>
      </w:r>
      <w:r>
        <w:rPr>
          <w:rFonts w:hint="eastAsia" w:ascii="宋体" w:hAnsi="宋体" w:cs="宋体"/>
          <w:color w:val="auto"/>
          <w:sz w:val="24"/>
        </w:rPr>
        <w:t>招标文件、投标文件</w:t>
      </w:r>
      <w:r>
        <w:rPr>
          <w:rFonts w:hint="eastAsia" w:ascii="宋体" w:hAnsi="宋体" w:cs="宋体"/>
          <w:color w:val="auto"/>
          <w:sz w:val="24"/>
          <w:lang w:eastAsia="zh-CN"/>
        </w:rPr>
        <w:t>及</w:t>
      </w:r>
      <w:r>
        <w:rPr>
          <w:rFonts w:hint="eastAsia" w:ascii="宋体" w:hAnsi="宋体" w:cs="宋体"/>
          <w:color w:val="auto"/>
          <w:sz w:val="24"/>
        </w:rPr>
        <w:t>谈判文件、谈判响应文件</w:t>
      </w:r>
      <w:r>
        <w:rPr>
          <w:rFonts w:hint="eastAsia" w:ascii="宋体" w:hAnsi="宋体" w:cs="宋体"/>
          <w:color w:val="auto"/>
          <w:sz w:val="24"/>
          <w:lang w:eastAsia="zh-CN"/>
        </w:rPr>
        <w:t>、磋商</w:t>
      </w:r>
      <w:r>
        <w:rPr>
          <w:rFonts w:hint="eastAsia" w:ascii="宋体" w:hAnsi="宋体" w:cs="宋体"/>
          <w:color w:val="auto"/>
          <w:sz w:val="24"/>
        </w:rPr>
        <w:t>文件、</w:t>
      </w:r>
      <w:r>
        <w:rPr>
          <w:rFonts w:hint="eastAsia" w:ascii="宋体" w:hAnsi="宋体" w:cs="宋体"/>
          <w:color w:val="auto"/>
          <w:sz w:val="24"/>
          <w:lang w:eastAsia="zh-CN"/>
        </w:rPr>
        <w:t>磋商</w:t>
      </w:r>
      <w:r>
        <w:rPr>
          <w:rFonts w:hint="eastAsia" w:ascii="宋体" w:hAnsi="宋体" w:cs="宋体"/>
          <w:color w:val="auto"/>
          <w:sz w:val="24"/>
        </w:rPr>
        <w:t>响应文件</w:t>
      </w:r>
      <w:r>
        <w:rPr>
          <w:rFonts w:hint="eastAsia" w:ascii="宋体" w:hAnsi="宋体" w:cs="宋体"/>
          <w:color w:val="auto"/>
          <w:sz w:val="24"/>
          <w:lang w:eastAsia="zh-CN"/>
        </w:rPr>
        <w:t>、询价通知书及询价响应文件、网上竞价文件</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sz w:val="24"/>
          <w:szCs w:val="24"/>
        </w:rPr>
        <w:sym w:font="Wingdings 2" w:char="00A3"/>
      </w:r>
      <w:r>
        <w:rPr>
          <w:rFonts w:hint="eastAsia" w:ascii="宋体" w:hAnsi="宋体" w:eastAsia="宋体" w:cs="宋体"/>
          <w:color w:val="auto"/>
          <w:spacing w:val="0"/>
          <w:u w:val="single"/>
        </w:rPr>
        <w:t>（</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u w:val="single"/>
          <w:lang w:val="en-US" w:eastAsia="zh-CN"/>
        </w:rPr>
        <w:t xml:space="preserve"> </w:t>
      </w:r>
      <w:r>
        <w:rPr>
          <w:rFonts w:hint="eastAsia" w:ascii="宋体" w:hAnsi="宋体" w:eastAsia="宋体" w:cs="宋体"/>
          <w:color w:val="auto"/>
          <w:spacing w:val="0"/>
          <w:u w:val="single"/>
        </w:rPr>
        <w:t>）</w:t>
      </w:r>
      <w:r>
        <w:rPr>
          <w:rFonts w:hint="eastAsia" w:ascii="宋体" w:hAnsi="宋体" w:eastAsia="宋体" w:cs="宋体"/>
          <w:color w:val="auto"/>
          <w:spacing w:val="0"/>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2、合同标的</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3、合同总金额</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3.1</w:t>
      </w:r>
      <w:r>
        <w:rPr>
          <w:rFonts w:hint="eastAsia" w:ascii="宋体" w:hAnsi="宋体" w:cs="宋体"/>
          <w:color w:val="auto"/>
          <w:sz w:val="24"/>
        </w:rPr>
        <w:t>本合同不含税总</w:t>
      </w:r>
      <w:r>
        <w:rPr>
          <w:rFonts w:hint="eastAsia" w:ascii="宋体" w:hAnsi="宋体" w:cs="宋体"/>
          <w:color w:val="auto"/>
          <w:sz w:val="24"/>
          <w:lang w:val="en-US" w:eastAsia="zh-CN"/>
        </w:rPr>
        <w:t>金额</w:t>
      </w:r>
      <w:r>
        <w:rPr>
          <w:rFonts w:hint="eastAsia" w:ascii="宋体" w:hAnsi="宋体" w:cs="宋体"/>
          <w:color w:val="auto"/>
          <w:sz w:val="24"/>
        </w:rPr>
        <w:t>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none"/>
        </w:rPr>
        <w:t xml:space="preserve"> 元（大写：人民币</w:t>
      </w:r>
      <w:r>
        <w:rPr>
          <w:rFonts w:hint="eastAsia" w:ascii="宋体" w:hAnsi="宋体" w:eastAsia="宋体" w:cs="宋体"/>
          <w:color w:val="auto"/>
          <w:spacing w:val="0"/>
          <w:sz w:val="24"/>
          <w:szCs w:val="24"/>
          <w:u w:val="single"/>
        </w:rPr>
        <w:t xml:space="preserve">      元整），</w:t>
      </w:r>
      <w:r>
        <w:rPr>
          <w:rFonts w:hint="eastAsia" w:ascii="宋体" w:hAnsi="宋体" w:cs="宋体"/>
          <w:color w:val="auto"/>
          <w:sz w:val="24"/>
        </w:rPr>
        <w:t>增值税发票票面税率：</w:t>
      </w:r>
      <w:r>
        <w:rPr>
          <w:rFonts w:hint="eastAsia" w:ascii="宋体" w:hAnsi="宋体" w:eastAsia="宋体" w:cs="宋体"/>
          <w:color w:val="auto"/>
          <w:spacing w:val="0"/>
          <w:sz w:val="24"/>
          <w:szCs w:val="24"/>
          <w:u w:val="single"/>
        </w:rPr>
        <w:t xml:space="preserve">    </w:t>
      </w:r>
      <w:r>
        <w:rPr>
          <w:rFonts w:hint="eastAsia" w:ascii="宋体" w:hAnsi="宋体" w:cs="宋体"/>
          <w:color w:val="auto"/>
          <w:sz w:val="24"/>
        </w:rPr>
        <w:t>%，含税总</w:t>
      </w:r>
      <w:r>
        <w:rPr>
          <w:rFonts w:hint="eastAsia" w:ascii="宋体" w:hAnsi="宋体" w:cs="宋体"/>
          <w:color w:val="auto"/>
          <w:sz w:val="24"/>
          <w:lang w:val="en-US" w:eastAsia="zh-CN"/>
        </w:rPr>
        <w:t>金额</w:t>
      </w:r>
      <w:r>
        <w:rPr>
          <w:rFonts w:hint="eastAsia" w:ascii="宋体" w:hAnsi="宋体" w:cs="宋体"/>
          <w:color w:val="auto"/>
          <w:sz w:val="24"/>
        </w:rPr>
        <w:t>为￥</w:t>
      </w:r>
      <w:r>
        <w:rPr>
          <w:rFonts w:hint="eastAsia" w:ascii="宋体" w:hAnsi="宋体" w:eastAsia="宋体" w:cs="宋体"/>
          <w:color w:val="auto"/>
          <w:spacing w:val="0"/>
          <w:sz w:val="24"/>
          <w:szCs w:val="24"/>
          <w:u w:val="single"/>
        </w:rPr>
        <w:t xml:space="preserve">     </w:t>
      </w:r>
      <w:r>
        <w:rPr>
          <w:rFonts w:hint="eastAsia" w:ascii="宋体" w:hAnsi="宋体" w:cs="宋体"/>
          <w:color w:val="auto"/>
          <w:sz w:val="24"/>
        </w:rPr>
        <w:t>元（大写：人民币</w:t>
      </w:r>
      <w:r>
        <w:rPr>
          <w:rFonts w:hint="eastAsia" w:ascii="宋体" w:hAnsi="宋体" w:eastAsia="宋体" w:cs="宋体"/>
          <w:color w:val="auto"/>
          <w:spacing w:val="0"/>
          <w:sz w:val="24"/>
          <w:szCs w:val="24"/>
          <w:u w:val="single"/>
        </w:rPr>
        <w:t xml:space="preserve">     </w:t>
      </w:r>
      <w:r>
        <w:rPr>
          <w:rFonts w:hint="eastAsia" w:ascii="宋体" w:hAnsi="宋体" w:cs="宋体"/>
          <w:color w:val="auto"/>
          <w:sz w:val="24"/>
        </w:rPr>
        <w:t>元整）</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4、合同标的交付时间、地点和条件</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4.1交付时间：；</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4.2交付地点：；</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4.3交付条件：。</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default"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4.4</w:t>
      </w:r>
      <w:r>
        <w:rPr>
          <w:rFonts w:hint="eastAsia"/>
          <w:color w:val="auto"/>
          <w:lang w:val="en-US" w:eastAsia="zh-CN"/>
        </w:rPr>
        <w:t>项目指定联系人：甲方</w:t>
      </w:r>
      <w:r>
        <w:rPr>
          <w:rFonts w:hint="eastAsia" w:ascii="宋体" w:hAnsi="宋体" w:eastAsia="宋体" w:cs="宋体"/>
          <w:color w:val="auto"/>
          <w:spacing w:val="0"/>
          <w:sz w:val="24"/>
          <w:szCs w:val="24"/>
          <w:u w:val="single"/>
        </w:rPr>
        <w:t xml:space="preserve">    </w:t>
      </w:r>
      <w:r>
        <w:rPr>
          <w:rFonts w:hint="eastAsia"/>
          <w:color w:val="auto"/>
          <w:lang w:val="en-US" w:eastAsia="zh-CN"/>
        </w:rPr>
        <w:t>，联系方式</w:t>
      </w:r>
      <w:r>
        <w:rPr>
          <w:rFonts w:hint="eastAsia" w:ascii="宋体" w:hAnsi="宋体" w:eastAsia="宋体" w:cs="宋体"/>
          <w:color w:val="auto"/>
          <w:spacing w:val="0"/>
          <w:sz w:val="24"/>
          <w:szCs w:val="24"/>
          <w:u w:val="single"/>
        </w:rPr>
        <w:t xml:space="preserve">    </w:t>
      </w:r>
      <w:r>
        <w:rPr>
          <w:rFonts w:hint="eastAsia"/>
          <w:color w:val="auto"/>
          <w:lang w:val="en-US" w:eastAsia="zh-CN"/>
        </w:rPr>
        <w:t xml:space="preserve"> ；乙方</w:t>
      </w:r>
      <w:r>
        <w:rPr>
          <w:rFonts w:hint="eastAsia" w:ascii="宋体" w:hAnsi="宋体" w:eastAsia="宋体" w:cs="宋体"/>
          <w:color w:val="auto"/>
          <w:spacing w:val="0"/>
          <w:sz w:val="24"/>
          <w:szCs w:val="24"/>
          <w:u w:val="single"/>
        </w:rPr>
        <w:t xml:space="preserve">    </w:t>
      </w:r>
      <w:r>
        <w:rPr>
          <w:rFonts w:hint="eastAsia"/>
          <w:color w:val="auto"/>
          <w:lang w:val="en-US" w:eastAsia="zh-CN"/>
        </w:rPr>
        <w:t>，联系方式：</w:t>
      </w:r>
      <w:r>
        <w:rPr>
          <w:rFonts w:hint="eastAsia" w:ascii="宋体" w:hAnsi="宋体" w:eastAsia="宋体" w:cs="宋体"/>
          <w:color w:val="auto"/>
          <w:spacing w:val="0"/>
          <w:sz w:val="24"/>
          <w:szCs w:val="24"/>
          <w:u w:val="single"/>
        </w:rPr>
        <w:t xml:space="preserve">    </w:t>
      </w:r>
      <w:r>
        <w:rPr>
          <w:rFonts w:hint="eastAsia"/>
          <w:color w:val="auto"/>
          <w:lang w:val="en-US" w:eastAsia="zh-CN"/>
        </w:rPr>
        <w:t>。本合同涉及的所有文书均需指定联系人签字确认，若指定联系人、联系方式发生变更，需提前</w:t>
      </w:r>
      <w:r>
        <w:rPr>
          <w:rFonts w:hint="eastAsia" w:ascii="宋体" w:hAnsi="宋体" w:eastAsia="宋体" w:cs="宋体"/>
          <w:color w:val="auto"/>
          <w:spacing w:val="0"/>
          <w:sz w:val="24"/>
          <w:szCs w:val="24"/>
          <w:u w:val="single"/>
        </w:rPr>
        <w:t xml:space="preserve">    </w:t>
      </w:r>
      <w:r>
        <w:rPr>
          <w:rFonts w:hint="eastAsia"/>
          <w:color w:val="auto"/>
          <w:lang w:val="en-US" w:eastAsia="zh-CN"/>
        </w:rPr>
        <w:t>天以书面方式通知对方，否则视为未变更。</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5、合同标的应符合</w:t>
      </w:r>
      <w:r>
        <w:rPr>
          <w:rFonts w:hint="eastAsia" w:ascii="宋体" w:hAnsi="宋体" w:eastAsia="宋体" w:cs="宋体"/>
          <w:color w:val="auto"/>
          <w:spacing w:val="0"/>
          <w:sz w:val="24"/>
          <w:szCs w:val="24"/>
          <w:lang w:eastAsia="zh-CN"/>
        </w:rPr>
        <w:t>采购</w:t>
      </w:r>
      <w:r>
        <w:rPr>
          <w:rFonts w:hint="eastAsia" w:ascii="宋体" w:hAnsi="宋体" w:eastAsia="宋体" w:cs="宋体"/>
          <w:color w:val="auto"/>
          <w:spacing w:val="0"/>
          <w:sz w:val="24"/>
          <w:szCs w:val="24"/>
        </w:rPr>
        <w:t>文件的规定或约定，具体如下：</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6、验收</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6.1验收应按照招</w:t>
      </w:r>
      <w:r>
        <w:rPr>
          <w:rFonts w:hint="eastAsia" w:ascii="宋体" w:hAnsi="宋体" w:eastAsia="宋体" w:cs="宋体"/>
          <w:color w:val="auto"/>
          <w:spacing w:val="0"/>
          <w:sz w:val="24"/>
          <w:szCs w:val="24"/>
          <w:lang w:eastAsia="zh-CN"/>
        </w:rPr>
        <w:t>采购</w:t>
      </w:r>
      <w:r>
        <w:rPr>
          <w:rFonts w:hint="eastAsia" w:ascii="宋体" w:hAnsi="宋体" w:eastAsia="宋体" w:cs="宋体"/>
          <w:color w:val="auto"/>
          <w:spacing w:val="0"/>
          <w:sz w:val="24"/>
          <w:szCs w:val="24"/>
        </w:rPr>
        <w:t>文件的规定或约定进行，具体如下：</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6.2本项目是否邀请其他</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参与验收：</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w:t>
      </w:r>
      <w:r>
        <w:rPr>
          <w:rFonts w:hint="eastAsia" w:ascii="宋体" w:hAnsi="宋体" w:eastAsia="宋体" w:cs="宋体"/>
          <w:color w:val="auto"/>
          <w:spacing w:val="0"/>
          <w:sz w:val="24"/>
          <w:szCs w:val="24"/>
          <w:u w:val="single"/>
          <w:lang w:eastAsia="zh-CN"/>
        </w:rPr>
        <w:t>采购内容</w:t>
      </w:r>
      <w:r>
        <w:rPr>
          <w:rFonts w:hint="eastAsia" w:ascii="宋体" w:hAnsi="宋体" w:eastAsia="宋体" w:cs="宋体"/>
          <w:color w:val="auto"/>
          <w:spacing w:val="0"/>
          <w:sz w:val="24"/>
          <w:szCs w:val="24"/>
          <w:u w:val="single"/>
        </w:rPr>
        <w:t>规定填写）</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7、合同款项的支付应按照</w:t>
      </w:r>
      <w:r>
        <w:rPr>
          <w:rFonts w:hint="eastAsia" w:ascii="宋体" w:hAnsi="宋体" w:eastAsia="宋体" w:cs="宋体"/>
          <w:color w:val="auto"/>
          <w:spacing w:val="0"/>
          <w:sz w:val="24"/>
          <w:szCs w:val="24"/>
          <w:lang w:eastAsia="zh-CN"/>
        </w:rPr>
        <w:t>采购</w:t>
      </w:r>
      <w:r>
        <w:rPr>
          <w:rFonts w:hint="eastAsia" w:ascii="宋体" w:hAnsi="宋体" w:eastAsia="宋体" w:cs="宋体"/>
          <w:color w:val="auto"/>
          <w:spacing w:val="0"/>
          <w:sz w:val="24"/>
          <w:szCs w:val="24"/>
        </w:rPr>
        <w:t>文件的规定进行，具体如下：</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8、履约保证金</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□无。</w:t>
      </w:r>
      <w:r>
        <w:rPr>
          <w:rFonts w:hint="eastAsia" w:ascii="宋体" w:hAnsi="宋体" w:eastAsia="宋体" w:cs="宋体"/>
          <w:color w:val="auto"/>
          <w:spacing w:val="0"/>
          <w:sz w:val="24"/>
          <w:szCs w:val="24"/>
        </w:rPr>
        <w:sym w:font="Wingdings 2" w:char="00A3"/>
      </w:r>
      <w:r>
        <w:rPr>
          <w:rFonts w:hint="eastAsia" w:ascii="宋体" w:hAnsi="宋体" w:eastAsia="宋体" w:cs="宋体"/>
          <w:color w:val="auto"/>
          <w:spacing w:val="0"/>
          <w:sz w:val="24"/>
          <w:szCs w:val="24"/>
        </w:rPr>
        <w:t>有，具体如下：</w:t>
      </w:r>
      <w:r>
        <w:rPr>
          <w:rFonts w:hint="eastAsia" w:ascii="宋体" w:hAnsi="宋体" w:eastAsia="宋体" w:cs="宋体"/>
          <w:color w:val="auto"/>
          <w:spacing w:val="0"/>
          <w:sz w:val="24"/>
          <w:szCs w:val="24"/>
          <w:u w:val="single"/>
        </w:rPr>
        <w:t>（按照</w:t>
      </w:r>
      <w:r>
        <w:rPr>
          <w:rFonts w:hint="eastAsia" w:ascii="宋体" w:hAnsi="宋体" w:eastAsia="宋体" w:cs="宋体"/>
          <w:color w:val="auto"/>
          <w:spacing w:val="0"/>
          <w:sz w:val="24"/>
          <w:szCs w:val="24"/>
          <w:u w:val="single"/>
          <w:lang w:eastAsia="zh-CN"/>
        </w:rPr>
        <w:t>采购</w:t>
      </w:r>
      <w:r>
        <w:rPr>
          <w:rFonts w:hint="eastAsia" w:ascii="宋体" w:hAnsi="宋体" w:eastAsia="宋体" w:cs="宋体"/>
          <w:color w:val="auto"/>
          <w:spacing w:val="0"/>
          <w:sz w:val="24"/>
          <w:szCs w:val="24"/>
          <w:u w:val="single"/>
        </w:rPr>
        <w:t>文件规定填写）</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9、合同有效期</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10、违约责任</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11、</w:t>
      </w:r>
      <w:r>
        <w:rPr>
          <w:rFonts w:hint="eastAsia" w:ascii="宋体" w:hAnsi="宋体" w:eastAsia="宋体" w:cs="宋体"/>
          <w:color w:val="auto"/>
          <w:spacing w:val="0"/>
          <w:sz w:val="24"/>
          <w:szCs w:val="24"/>
        </w:rPr>
        <w:t xml:space="preserve"> 保密条款</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11</w:t>
      </w:r>
      <w:r>
        <w:rPr>
          <w:rFonts w:hint="eastAsia" w:ascii="宋体" w:hAnsi="宋体" w:eastAsia="宋体" w:cs="宋体"/>
          <w:color w:val="auto"/>
          <w:spacing w:val="0"/>
          <w:sz w:val="24"/>
          <w:szCs w:val="24"/>
        </w:rPr>
        <w:t>.1 除非根据法律要求或为履行本合同项下的义务必须向第三人披露，各方同意并约束其有关知情人对本合同的所有条款及有关信息、事项及各种数据，对方当事人的各种保密信息等严格保密，否则因此导致不利后果由泄露方承担。</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11</w:t>
      </w:r>
      <w:r>
        <w:rPr>
          <w:rFonts w:hint="eastAsia" w:ascii="宋体" w:hAnsi="宋体" w:eastAsia="宋体" w:cs="宋体"/>
          <w:color w:val="auto"/>
          <w:spacing w:val="0"/>
          <w:sz w:val="24"/>
          <w:szCs w:val="24"/>
        </w:rPr>
        <w:t>.2 本合同的无效、解除、终止均不影响本条款的有效。</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、知识产权</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.1乙方提供的采购标的应符合国家知识产权法律、法规的规定且非假冒伪劣品；乙方还应保证甲方不受到第三方关于侵犯知识产权及专利权、商标权</w:t>
      </w:r>
      <w:r>
        <w:rPr>
          <w:rFonts w:hint="eastAsia" w:ascii="宋体" w:hAnsi="宋体" w:eastAsia="宋体" w:cs="宋体"/>
          <w:color w:val="auto"/>
          <w:spacing w:val="0"/>
          <w:sz w:val="24"/>
          <w:szCs w:val="24"/>
          <w:lang w:eastAsia="zh-CN"/>
        </w:rPr>
        <w:t>、</w:t>
      </w:r>
      <w:r>
        <w:rPr>
          <w:rFonts w:hint="eastAsia" w:ascii="宋体" w:hAnsi="宋体"/>
          <w:color w:val="auto"/>
          <w:sz w:val="24"/>
        </w:rPr>
        <w:t>著作权</w:t>
      </w:r>
      <w:r>
        <w:rPr>
          <w:rFonts w:hint="eastAsia" w:ascii="宋体" w:hAnsi="宋体" w:eastAsia="宋体" w:cs="宋体"/>
          <w:color w:val="auto"/>
          <w:spacing w:val="0"/>
          <w:sz w:val="24"/>
          <w:szCs w:val="24"/>
        </w:rPr>
        <w:t>或工业设计权等知识产权方面的指控，若任何第三方提出此方面指控均与甲方无关，乙方应与第三方交涉，并承担可能发生的一切法律责任、费用和后果；若甲方因此而遭致损失，则乙方应赔偿该损失。</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2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480" w:leftChars="0" w:right="0" w:rightChars="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13、</w:t>
      </w:r>
      <w:r>
        <w:rPr>
          <w:rFonts w:hint="eastAsia" w:ascii="宋体" w:hAnsi="宋体" w:eastAsia="宋体" w:cs="宋体"/>
          <w:color w:val="auto"/>
          <w:spacing w:val="0"/>
          <w:sz w:val="24"/>
          <w:szCs w:val="24"/>
        </w:rPr>
        <w:t>解决争议的方法</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3</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eastAsia="zh-CN"/>
        </w:rPr>
        <w:t>1</w:t>
      </w:r>
      <w:r>
        <w:rPr>
          <w:rFonts w:hint="eastAsia" w:ascii="宋体" w:hAnsi="宋体" w:eastAsia="宋体" w:cs="宋体"/>
          <w:color w:val="auto"/>
          <w:spacing w:val="0"/>
          <w:sz w:val="24"/>
          <w:szCs w:val="24"/>
        </w:rPr>
        <w:t>若协商解决不成，则通过下列途径之一解决：</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kern w:val="0"/>
          <w:sz w:val="24"/>
          <w:szCs w:val="24"/>
          <w:u w:val="none"/>
          <w:lang w:val="en-US" w:eastAsia="zh-CN" w:bidi="ar"/>
        </w:rPr>
      </w:pPr>
      <w:r>
        <w:rPr>
          <w:rFonts w:hint="eastAsia" w:ascii="宋体" w:hAnsi="宋体" w:eastAsia="宋体" w:cs="宋体"/>
          <w:color w:val="auto"/>
          <w:spacing w:val="0"/>
          <w:kern w:val="0"/>
          <w:sz w:val="24"/>
          <w:szCs w:val="24"/>
          <w:u w:val="none"/>
          <w:lang w:val="en-US" w:eastAsia="zh-CN" w:bidi="ar"/>
        </w:rPr>
        <w:t>13.1 因执行本合同所发生的或者与本合同有关的一切争议，双方应首先采取友好协商的方式解决该争议。如果不能协商一致，任何一方有权向甲方所在地有管辖权的人民法院提起诉讼，违约方除了承担本合同及采购文件约定的违约责任外，还需承担守约方为解决本合同争议而支出的诉讼费、律师费、公证鉴定费、调查取证费等一切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kern w:val="0"/>
          <w:sz w:val="24"/>
          <w:szCs w:val="24"/>
          <w:u w:val="none"/>
          <w:lang w:val="en-US" w:eastAsia="zh-CN" w:bidi="ar"/>
        </w:rPr>
      </w:pPr>
      <w:r>
        <w:rPr>
          <w:rFonts w:hint="eastAsia" w:ascii="宋体" w:hAnsi="宋体" w:eastAsia="宋体" w:cs="宋体"/>
          <w:color w:val="auto"/>
          <w:spacing w:val="0"/>
          <w:kern w:val="0"/>
          <w:sz w:val="24"/>
          <w:szCs w:val="24"/>
          <w:u w:val="none"/>
          <w:lang w:val="en-US" w:eastAsia="zh-CN" w:bidi="ar"/>
        </w:rPr>
        <w:t>13.2 除非另有协议，诉诸法院裁判不影响合同双方继续履行合同项下争议以外部分各自的义务。</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、不可抗力</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.2本合同中的不可抗力指不能预见、不能避免、不能克服的客观情况，包括但不限于：自然灾害如地震、台风、洪水、火灾及政府行为、法律规定或其适用的变化或其他任何无法预见、避免或控制的事件。</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5</w:t>
      </w:r>
      <w:r>
        <w:rPr>
          <w:rFonts w:hint="eastAsia" w:ascii="宋体" w:hAnsi="宋体" w:eastAsia="宋体" w:cs="宋体"/>
          <w:color w:val="auto"/>
          <w:spacing w:val="0"/>
          <w:sz w:val="24"/>
          <w:szCs w:val="24"/>
        </w:rPr>
        <w:t>、合同条款</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u w:val="single"/>
          <w:lang w:eastAsia="zh-CN"/>
        </w:rPr>
        <w:t>已确定的采购内容</w:t>
      </w:r>
      <w:r>
        <w:rPr>
          <w:rFonts w:hint="eastAsia" w:ascii="宋体" w:hAnsi="宋体" w:eastAsia="宋体" w:cs="宋体"/>
          <w:color w:val="auto"/>
          <w:spacing w:val="0"/>
          <w:sz w:val="24"/>
          <w:szCs w:val="24"/>
          <w:u w:val="single"/>
        </w:rPr>
        <w:t>，双方均不得变更或调整；未作规定的，双方可通过友好协商进行约定）</w:t>
      </w:r>
      <w:r>
        <w:rPr>
          <w:rFonts w:hint="eastAsia" w:ascii="宋体" w:hAnsi="宋体" w:eastAsia="宋体" w:cs="宋体"/>
          <w:color w:val="auto"/>
          <w:spacing w:val="0"/>
          <w:sz w:val="24"/>
          <w:szCs w:val="24"/>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、其他约定</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.1合同文件与本合同具有同等法律效力。</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.2本合同未尽事宜，双方可另行补充。</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.3合同生效：</w:t>
      </w:r>
      <w:r>
        <w:rPr>
          <w:rFonts w:hint="eastAsia" w:ascii="宋体" w:hAnsi="宋体" w:cs="宋体"/>
          <w:color w:val="auto"/>
          <w:sz w:val="24"/>
        </w:rPr>
        <w:t>本合同自双方签章之日起生效。本合同壹式</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份，甲方执</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份，乙方执</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份，具有同等法律效力。</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numPr>
          <w:ilvl w:val="0"/>
          <w:numId w:val="0"/>
        </w:numPr>
        <w:spacing w:line="360" w:lineRule="auto"/>
        <w:ind w:left="480" w:leftChars="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p>
    <w:p>
      <w:pPr>
        <w:pStyle w:val="25"/>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color w:val="auto"/>
        </w:rPr>
      </w:pPr>
      <w:r>
        <w:rPr>
          <w:rFonts w:hint="eastAsia" w:ascii="宋体" w:hAnsi="宋体" w:eastAsia="宋体" w:cs="宋体"/>
          <w:color w:val="auto"/>
          <w:spacing w:val="0"/>
          <w:sz w:val="24"/>
          <w:szCs w:val="24"/>
        </w:rPr>
        <w:t>（以下无正文）</w:t>
      </w:r>
    </w:p>
    <w:tbl>
      <w:tblPr>
        <w:tblStyle w:val="30"/>
        <w:tblW w:w="9890" w:type="dxa"/>
        <w:tblInd w:w="-2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90"/>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甲方</w:t>
            </w:r>
            <w:r>
              <w:rPr>
                <w:rFonts w:hint="eastAsia" w:ascii="宋体" w:hAnsi="宋体" w:cs="宋体"/>
                <w:color w:val="auto"/>
                <w:sz w:val="24"/>
              </w:rPr>
              <w:t>（盖章）</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eastAsia="zh-CN"/>
              </w:rPr>
              <w:t xml:space="preserve"> </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乙方</w:t>
            </w:r>
            <w:r>
              <w:rPr>
                <w:rFonts w:hint="eastAsia" w:ascii="宋体" w:hAnsi="宋体" w:cs="宋体"/>
                <w:color w:val="auto"/>
                <w:sz w:val="24"/>
              </w:rPr>
              <w:t>（盖章）</w:t>
            </w:r>
            <w:r>
              <w:rPr>
                <w:rFonts w:hint="eastAsia" w:ascii="宋体" w:hAnsi="宋体" w:eastAsia="宋体" w:cs="宋体"/>
                <w:color w:val="auto"/>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住所：</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单位负责人</w:t>
            </w:r>
            <w:r>
              <w:rPr>
                <w:rFonts w:hint="eastAsia" w:ascii="宋体" w:hAnsi="宋体" w:cs="宋体"/>
                <w:color w:val="auto"/>
                <w:sz w:val="24"/>
                <w:lang w:eastAsia="zh-Hans"/>
              </w:rPr>
              <w:t>（签字或盖章）</w:t>
            </w:r>
            <w:r>
              <w:rPr>
                <w:rFonts w:hint="eastAsia" w:ascii="宋体" w:hAnsi="宋体" w:eastAsia="宋体" w:cs="宋体"/>
                <w:color w:val="auto"/>
                <w:spacing w:val="0"/>
                <w:sz w:val="24"/>
                <w:szCs w:val="24"/>
              </w:rPr>
              <w:t>：</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单位负责人</w:t>
            </w:r>
            <w:r>
              <w:rPr>
                <w:rFonts w:hint="eastAsia" w:ascii="宋体" w:hAnsi="宋体" w:cs="宋体"/>
                <w:color w:val="auto"/>
                <w:sz w:val="24"/>
                <w:lang w:eastAsia="zh-Hans"/>
              </w:rPr>
              <w:t>（签字或盖章）</w:t>
            </w:r>
            <w:r>
              <w:rPr>
                <w:rFonts w:hint="eastAsia" w:ascii="宋体" w:hAnsi="宋体" w:eastAsia="宋体" w:cs="宋体"/>
                <w:color w:val="auto"/>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委托代理人</w:t>
            </w:r>
            <w:r>
              <w:rPr>
                <w:rFonts w:hint="eastAsia" w:ascii="宋体" w:hAnsi="宋体" w:cs="宋体"/>
                <w:color w:val="auto"/>
                <w:sz w:val="24"/>
                <w:lang w:eastAsia="zh-Hans"/>
              </w:rPr>
              <w:t>（签字或盖章）</w:t>
            </w:r>
            <w:r>
              <w:rPr>
                <w:rFonts w:hint="eastAsia" w:ascii="宋体" w:hAnsi="宋体" w:eastAsia="宋体" w:cs="宋体"/>
                <w:color w:val="auto"/>
                <w:spacing w:val="0"/>
                <w:sz w:val="24"/>
                <w:szCs w:val="24"/>
              </w:rPr>
              <w:t>：</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委托代理人</w:t>
            </w:r>
            <w:r>
              <w:rPr>
                <w:rFonts w:hint="eastAsia" w:ascii="宋体" w:hAnsi="宋体" w:cs="宋体"/>
                <w:color w:val="auto"/>
                <w:sz w:val="24"/>
                <w:lang w:eastAsia="zh-Hans"/>
              </w:rPr>
              <w:t>（签字或盖章）</w:t>
            </w:r>
            <w:r>
              <w:rPr>
                <w:rFonts w:hint="eastAsia" w:ascii="宋体" w:hAnsi="宋体" w:eastAsia="宋体" w:cs="宋体"/>
                <w:color w:val="auto"/>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联系方法：</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联系方法：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开户银行：</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账号：</w:t>
            </w:r>
            <w:r>
              <w:rPr>
                <w:rFonts w:hint="eastAsia" w:ascii="宋体" w:hAnsi="宋体" w:eastAsia="宋体" w:cs="宋体"/>
                <w:color w:val="auto"/>
                <w:spacing w:val="0"/>
                <w:sz w:val="24"/>
                <w:szCs w:val="24"/>
                <w:lang w:val="en-US" w:eastAsia="zh-CN"/>
              </w:rPr>
              <w:t xml:space="preserve"> </w:t>
            </w:r>
          </w:p>
        </w:tc>
        <w:tc>
          <w:tcPr>
            <w:tcW w:w="4800" w:type="dxa"/>
          </w:tcPr>
          <w:p>
            <w:pPr>
              <w:pStyle w:val="25"/>
              <w:keepNext w:val="0"/>
              <w:keepLines w:val="0"/>
              <w:widowControl/>
              <w:suppressLineNumbers w:val="0"/>
              <w:spacing w:before="75" w:beforeAutospacing="0" w:after="75" w:afterAutospacing="0" w:line="360" w:lineRule="auto"/>
              <w:ind w:right="0"/>
              <w:rPr>
                <w:rFonts w:hint="eastAsia" w:ascii="宋体" w:hAnsi="宋体" w:eastAsia="宋体" w:cs="宋体"/>
                <w:color w:val="auto"/>
                <w:spacing w:val="0"/>
                <w:sz w:val="24"/>
                <w:szCs w:val="24"/>
                <w:vertAlign w:val="baseline"/>
              </w:rPr>
            </w:pPr>
            <w:r>
              <w:rPr>
                <w:rFonts w:hint="eastAsia" w:ascii="宋体" w:hAnsi="宋体" w:eastAsia="宋体" w:cs="宋体"/>
                <w:color w:val="auto"/>
                <w:spacing w:val="0"/>
                <w:sz w:val="24"/>
                <w:szCs w:val="24"/>
              </w:rPr>
              <w:t>账号：</w:t>
            </w:r>
          </w:p>
        </w:tc>
      </w:tr>
    </w:tbl>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r>
        <w:rPr>
          <w:rFonts w:hint="eastAsia" w:ascii="宋体" w:hAnsi="宋体" w:eastAsia="宋体" w:cs="宋体"/>
          <w:color w:val="auto"/>
          <w:spacing w:val="0"/>
          <w:sz w:val="24"/>
          <w:szCs w:val="24"/>
          <w:lang w:val="en-US" w:eastAsia="zh-CN"/>
        </w:rPr>
        <w:t xml:space="preserve">                               </w:t>
      </w:r>
    </w:p>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签订地点：</w:t>
      </w:r>
    </w:p>
    <w:p>
      <w:pPr>
        <w:pStyle w:val="25"/>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rPr>
          <w:color w:val="auto"/>
        </w:rPr>
      </w:pPr>
    </w:p>
    <w:p>
      <w:pPr>
        <w:pStyle w:val="3"/>
        <w:numPr>
          <w:ilvl w:val="0"/>
          <w:numId w:val="0"/>
        </w:numPr>
        <w:rPr>
          <w:rFonts w:hint="eastAsia" w:cs="宋体"/>
          <w:color w:val="auto"/>
        </w:rPr>
      </w:pPr>
      <w:r>
        <w:rPr>
          <w:rFonts w:hint="eastAsia" w:cs="宋体"/>
          <w:color w:val="auto"/>
        </w:rPr>
        <w:br w:type="page"/>
      </w:r>
    </w:p>
    <w:p>
      <w:pPr>
        <w:pStyle w:val="3"/>
        <w:numPr>
          <w:ilvl w:val="0"/>
          <w:numId w:val="0"/>
        </w:numPr>
        <w:rPr>
          <w:color w:val="auto"/>
        </w:rPr>
      </w:pPr>
      <w:r>
        <w:rPr>
          <w:rFonts w:hint="eastAsia" w:cs="宋体"/>
          <w:color w:val="auto"/>
        </w:rPr>
        <w:t>第五章询价响应文件格式</w:t>
      </w:r>
      <w:bookmarkEnd w:id="52"/>
      <w:bookmarkEnd w:id="53"/>
      <w:bookmarkEnd w:id="54"/>
    </w:p>
    <w:p>
      <w:pPr>
        <w:pStyle w:val="70"/>
        <w:spacing w:line="360" w:lineRule="auto"/>
        <w:ind w:firstLine="480" w:firstLineChars="200"/>
        <w:rPr>
          <w:rFonts w:hAnsi="宋体" w:cs="Times New Roman"/>
          <w:color w:val="auto"/>
        </w:rPr>
      </w:pPr>
    </w:p>
    <w:p>
      <w:pPr>
        <w:pStyle w:val="70"/>
        <w:spacing w:line="360" w:lineRule="auto"/>
        <w:ind w:firstLine="480" w:firstLineChars="200"/>
        <w:rPr>
          <w:rFonts w:hAnsi="宋体" w:cs="Times New Roman"/>
          <w:color w:val="auto"/>
        </w:rPr>
      </w:pPr>
    </w:p>
    <w:p>
      <w:pPr>
        <w:pStyle w:val="70"/>
        <w:spacing w:line="360" w:lineRule="auto"/>
        <w:ind w:firstLine="480" w:firstLineChars="200"/>
        <w:rPr>
          <w:rFonts w:hAnsi="宋体" w:cs="Times New Roman"/>
          <w:color w:val="auto"/>
        </w:rPr>
      </w:pPr>
    </w:p>
    <w:p>
      <w:pPr>
        <w:pStyle w:val="70"/>
        <w:spacing w:line="360" w:lineRule="auto"/>
        <w:ind w:firstLine="480" w:firstLineChars="200"/>
        <w:rPr>
          <w:rFonts w:hAnsi="宋体" w:cs="Times New Roman"/>
          <w:color w:val="auto"/>
        </w:rPr>
      </w:pPr>
    </w:p>
    <w:p>
      <w:pPr>
        <w:pStyle w:val="70"/>
        <w:spacing w:line="360" w:lineRule="auto"/>
        <w:ind w:firstLine="480" w:firstLineChars="200"/>
        <w:rPr>
          <w:rFonts w:hAnsi="宋体" w:cs="Times New Roman"/>
          <w:color w:val="auto"/>
        </w:rPr>
      </w:pPr>
    </w:p>
    <w:tbl>
      <w:tblPr>
        <w:tblStyle w:val="29"/>
        <w:tblW w:w="819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rPr>
        <w:tc>
          <w:tcPr>
            <w:tcW w:w="8190" w:type="dxa"/>
          </w:tcPr>
          <w:p>
            <w:pPr>
              <w:spacing w:before="120" w:line="360" w:lineRule="auto"/>
              <w:ind w:firstLine="480" w:firstLineChars="200"/>
              <w:rPr>
                <w:rFonts w:ascii="宋体"/>
                <w:color w:val="auto"/>
                <w:sz w:val="24"/>
                <w:szCs w:val="24"/>
              </w:rPr>
            </w:pPr>
            <w:r>
              <w:rPr>
                <w:rFonts w:hint="eastAsia" w:ascii="宋体" w:hAnsi="宋体" w:cs="宋体"/>
                <w:color w:val="auto"/>
                <w:sz w:val="24"/>
                <w:szCs w:val="24"/>
              </w:rPr>
              <w:t>注释：</w:t>
            </w:r>
          </w:p>
          <w:p>
            <w:pPr>
              <w:spacing w:before="120" w:line="360" w:lineRule="auto"/>
              <w:ind w:right="132" w:firstLine="236" w:firstLineChars="98"/>
              <w:rPr>
                <w:rFonts w:ascii="宋体"/>
                <w:color w:val="auto"/>
                <w:sz w:val="24"/>
                <w:szCs w:val="24"/>
              </w:rPr>
            </w:pPr>
            <w:r>
              <w:rPr>
                <w:rFonts w:hint="eastAsia" w:ascii="宋体" w:hAnsi="宋体" w:cs="宋体"/>
                <w:b/>
                <w:bCs/>
                <w:color w:val="auto"/>
                <w:sz w:val="24"/>
                <w:szCs w:val="24"/>
              </w:rPr>
              <w:t>《</w:t>
            </w:r>
            <w:r>
              <w:rPr>
                <w:rFonts w:hint="eastAsia" w:ascii="宋体" w:hAnsi="宋体" w:cs="宋体"/>
                <w:color w:val="auto"/>
                <w:sz w:val="24"/>
                <w:szCs w:val="24"/>
              </w:rPr>
              <w:t>询价响应文件格式》是询价供应商的部分询价响应文件格式和签订合同时所需文件的格式。询价供应商应参照这些格式文件制作询价响应文件。</w:t>
            </w:r>
          </w:p>
          <w:p>
            <w:pPr>
              <w:spacing w:before="120" w:line="360" w:lineRule="auto"/>
              <w:ind w:right="132" w:firstLine="232" w:firstLineChars="97"/>
              <w:rPr>
                <w:rFonts w:ascii="宋体"/>
                <w:color w:val="auto"/>
                <w:sz w:val="24"/>
                <w:szCs w:val="24"/>
              </w:rPr>
            </w:pPr>
          </w:p>
        </w:tc>
      </w:tr>
    </w:tbl>
    <w:p>
      <w:pPr>
        <w:pStyle w:val="70"/>
        <w:spacing w:line="360" w:lineRule="auto"/>
        <w:ind w:firstLine="400" w:firstLineChars="200"/>
        <w:rPr>
          <w:rFonts w:hAnsi="宋体" w:cs="Times New Roman"/>
          <w:color w:val="auto"/>
          <w:sz w:val="20"/>
          <w:szCs w:val="20"/>
        </w:rPr>
      </w:pPr>
    </w:p>
    <w:p>
      <w:pPr>
        <w:rPr>
          <w:rFonts w:cs="宋体"/>
          <w:b/>
          <w:bCs/>
          <w:color w:val="auto"/>
          <w:sz w:val="72"/>
          <w:szCs w:val="72"/>
        </w:rPr>
      </w:pPr>
      <w:bookmarkStart w:id="55" w:name="_Toc31020"/>
      <w:r>
        <w:rPr>
          <w:rFonts w:hint="eastAsia" w:cs="宋体"/>
          <w:b/>
          <w:bCs/>
          <w:color w:val="auto"/>
          <w:sz w:val="72"/>
          <w:szCs w:val="72"/>
        </w:rPr>
        <w:br w:type="page"/>
      </w:r>
    </w:p>
    <w:p>
      <w:pPr>
        <w:jc w:val="center"/>
        <w:rPr>
          <w:rFonts w:cs="宋体"/>
          <w:b/>
          <w:bCs/>
          <w:color w:val="auto"/>
          <w:sz w:val="72"/>
          <w:szCs w:val="72"/>
        </w:rPr>
      </w:pPr>
    </w:p>
    <w:p>
      <w:pPr>
        <w:jc w:val="center"/>
        <w:rPr>
          <w:rFonts w:cs="宋体"/>
          <w:b/>
          <w:bCs/>
          <w:color w:val="auto"/>
          <w:sz w:val="72"/>
          <w:szCs w:val="72"/>
        </w:rPr>
      </w:pPr>
    </w:p>
    <w:p>
      <w:pPr>
        <w:jc w:val="center"/>
        <w:rPr>
          <w:rFonts w:cs="宋体"/>
          <w:b/>
          <w:bCs/>
          <w:color w:val="auto"/>
          <w:sz w:val="72"/>
          <w:szCs w:val="72"/>
        </w:rPr>
      </w:pPr>
    </w:p>
    <w:p>
      <w:pPr>
        <w:jc w:val="center"/>
        <w:rPr>
          <w:b/>
          <w:bCs/>
          <w:color w:val="auto"/>
          <w:sz w:val="72"/>
          <w:szCs w:val="72"/>
        </w:rPr>
      </w:pPr>
      <w:r>
        <w:rPr>
          <w:rFonts w:hint="eastAsia" w:cs="宋体"/>
          <w:b/>
          <w:bCs/>
          <w:color w:val="auto"/>
          <w:sz w:val="72"/>
          <w:szCs w:val="72"/>
        </w:rPr>
        <w:t>询价响应文件</w:t>
      </w:r>
      <w:bookmarkEnd w:id="55"/>
    </w:p>
    <w:p>
      <w:pPr>
        <w:jc w:val="center"/>
        <w:rPr>
          <w:rFonts w:ascii="黑体" w:eastAsia="黑体"/>
          <w:color w:val="auto"/>
          <w:sz w:val="44"/>
          <w:szCs w:val="44"/>
        </w:rPr>
      </w:pPr>
    </w:p>
    <w:p>
      <w:pPr>
        <w:jc w:val="center"/>
        <w:rPr>
          <w:b/>
          <w:bCs/>
          <w:color w:val="auto"/>
          <w:sz w:val="44"/>
          <w:szCs w:val="44"/>
        </w:rPr>
      </w:pPr>
      <w:bookmarkStart w:id="56" w:name="_Toc8921"/>
      <w:r>
        <w:rPr>
          <w:rFonts w:hint="eastAsia" w:cs="宋体"/>
          <w:b/>
          <w:bCs/>
          <w:color w:val="auto"/>
          <w:sz w:val="44"/>
          <w:szCs w:val="44"/>
        </w:rPr>
        <w:t>（请在此注明正本或副本）</w:t>
      </w:r>
      <w:bookmarkEnd w:id="56"/>
    </w:p>
    <w:p>
      <w:pPr>
        <w:spacing w:line="360" w:lineRule="auto"/>
        <w:ind w:firstLine="2182" w:firstLineChars="494"/>
        <w:rPr>
          <w:rFonts w:ascii="宋体"/>
          <w:b/>
          <w:bCs/>
          <w:color w:val="auto"/>
          <w:sz w:val="44"/>
          <w:szCs w:val="44"/>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ind w:firstLine="1285" w:firstLineChars="400"/>
        <w:rPr>
          <w:b/>
          <w:bCs/>
          <w:color w:val="auto"/>
          <w:sz w:val="32"/>
          <w:szCs w:val="32"/>
          <w:u w:val="single"/>
        </w:rPr>
      </w:pPr>
      <w:bookmarkStart w:id="57" w:name="_Toc15474"/>
      <w:r>
        <w:rPr>
          <w:rFonts w:hint="eastAsia" w:cs="宋体"/>
          <w:b/>
          <w:bCs/>
          <w:color w:val="auto"/>
          <w:sz w:val="32"/>
          <w:szCs w:val="32"/>
        </w:rPr>
        <w:t>项目名称：</w:t>
      </w:r>
      <w:bookmarkEnd w:id="57"/>
    </w:p>
    <w:p>
      <w:pPr>
        <w:ind w:firstLine="1285" w:firstLineChars="400"/>
        <w:rPr>
          <w:b/>
          <w:bCs/>
          <w:color w:val="auto"/>
          <w:sz w:val="32"/>
          <w:szCs w:val="32"/>
        </w:rPr>
      </w:pPr>
      <w:bookmarkStart w:id="58" w:name="_Toc4534"/>
      <w:r>
        <w:rPr>
          <w:rFonts w:hint="eastAsia" w:cs="宋体"/>
          <w:b/>
          <w:bCs/>
          <w:color w:val="auto"/>
          <w:sz w:val="32"/>
          <w:szCs w:val="32"/>
        </w:rPr>
        <w:t>采购编号：</w:t>
      </w:r>
      <w:bookmarkEnd w:id="58"/>
    </w:p>
    <w:p>
      <w:pPr>
        <w:rPr>
          <w:b/>
          <w:bCs/>
          <w:color w:val="auto"/>
          <w:sz w:val="32"/>
          <w:szCs w:val="32"/>
        </w:rPr>
      </w:pPr>
    </w:p>
    <w:p>
      <w:pPr>
        <w:rPr>
          <w:b/>
          <w:bCs/>
          <w:color w:val="auto"/>
          <w:sz w:val="32"/>
          <w:szCs w:val="32"/>
        </w:rPr>
      </w:pPr>
    </w:p>
    <w:p>
      <w:pPr>
        <w:rPr>
          <w:b/>
          <w:bCs/>
          <w:color w:val="auto"/>
          <w:sz w:val="32"/>
          <w:szCs w:val="32"/>
          <w:u w:val="single"/>
        </w:rPr>
      </w:pPr>
      <w:bookmarkStart w:id="59" w:name="_Toc14833"/>
      <w:r>
        <w:rPr>
          <w:rFonts w:hint="eastAsia" w:cs="宋体"/>
          <w:b/>
          <w:bCs/>
          <w:color w:val="auto"/>
          <w:sz w:val="32"/>
          <w:szCs w:val="32"/>
        </w:rPr>
        <w:t>询价供应商名称：</w:t>
      </w:r>
      <w:bookmarkEnd w:id="59"/>
    </w:p>
    <w:p>
      <w:pPr>
        <w:rPr>
          <w:b/>
          <w:bCs/>
          <w:color w:val="auto"/>
          <w:sz w:val="32"/>
          <w:szCs w:val="32"/>
        </w:rPr>
      </w:pPr>
      <w:bookmarkStart w:id="60" w:name="_Toc24219"/>
      <w:r>
        <w:rPr>
          <w:rFonts w:hint="eastAsia" w:cs="宋体"/>
          <w:b/>
          <w:bCs/>
          <w:color w:val="auto"/>
          <w:sz w:val="32"/>
          <w:szCs w:val="32"/>
        </w:rPr>
        <w:t>日期：</w:t>
      </w:r>
      <w:bookmarkEnd w:id="60"/>
    </w:p>
    <w:p>
      <w:pPr>
        <w:rPr>
          <w:rFonts w:cs="宋体"/>
          <w:b/>
          <w:bCs/>
          <w:color w:val="auto"/>
          <w:sz w:val="24"/>
          <w:szCs w:val="24"/>
        </w:rPr>
      </w:pPr>
      <w:bookmarkStart w:id="61" w:name="_Toc6201"/>
      <w:r>
        <w:rPr>
          <w:rFonts w:hint="eastAsia" w:cs="宋体"/>
          <w:b/>
          <w:bCs/>
          <w:color w:val="auto"/>
          <w:sz w:val="24"/>
          <w:szCs w:val="24"/>
        </w:rPr>
        <w:br w:type="page"/>
      </w:r>
    </w:p>
    <w:p>
      <w:pPr>
        <w:spacing w:line="360" w:lineRule="auto"/>
        <w:jc w:val="center"/>
        <w:rPr>
          <w:b/>
          <w:bCs/>
          <w:color w:val="auto"/>
          <w:sz w:val="24"/>
          <w:szCs w:val="24"/>
        </w:rPr>
      </w:pPr>
      <w:r>
        <w:rPr>
          <w:rFonts w:hint="eastAsia" w:cs="宋体"/>
          <w:b/>
          <w:bCs/>
          <w:color w:val="auto"/>
          <w:sz w:val="24"/>
          <w:szCs w:val="24"/>
        </w:rPr>
        <w:t>目录</w:t>
      </w:r>
      <w:bookmarkEnd w:id="61"/>
    </w:p>
    <w:p>
      <w:pPr>
        <w:spacing w:line="360" w:lineRule="auto"/>
        <w:rPr>
          <w:color w:val="auto"/>
          <w:sz w:val="24"/>
          <w:szCs w:val="24"/>
        </w:rPr>
      </w:pPr>
      <w:r>
        <w:rPr>
          <w:rFonts w:hint="eastAsia" w:cs="宋体"/>
          <w:color w:val="auto"/>
          <w:sz w:val="24"/>
          <w:szCs w:val="24"/>
        </w:rPr>
        <w:t>询价响应文件：</w:t>
      </w:r>
    </w:p>
    <w:p>
      <w:pPr>
        <w:spacing w:line="360" w:lineRule="auto"/>
        <w:rPr>
          <w:color w:val="auto"/>
          <w:sz w:val="24"/>
          <w:szCs w:val="24"/>
        </w:rPr>
      </w:pPr>
      <w:bookmarkStart w:id="62" w:name="_Toc13693"/>
      <w:r>
        <w:rPr>
          <w:rFonts w:hint="eastAsia" w:cs="宋体"/>
          <w:color w:val="auto"/>
          <w:sz w:val="24"/>
          <w:szCs w:val="24"/>
        </w:rPr>
        <w:t>（</w:t>
      </w:r>
      <w:r>
        <w:rPr>
          <w:color w:val="auto"/>
          <w:sz w:val="24"/>
          <w:szCs w:val="24"/>
        </w:rPr>
        <w:t>1</w:t>
      </w:r>
      <w:r>
        <w:rPr>
          <w:rFonts w:hint="eastAsia" w:cs="宋体"/>
          <w:color w:val="auto"/>
          <w:sz w:val="24"/>
          <w:szCs w:val="24"/>
        </w:rPr>
        <w:t>）响应书</w:t>
      </w:r>
      <w:bookmarkEnd w:id="62"/>
    </w:p>
    <w:p>
      <w:pPr>
        <w:spacing w:line="360" w:lineRule="auto"/>
        <w:rPr>
          <w:color w:val="auto"/>
          <w:sz w:val="24"/>
          <w:szCs w:val="24"/>
        </w:rPr>
      </w:pPr>
      <w:bookmarkStart w:id="63" w:name="_Toc31881"/>
      <w:r>
        <w:rPr>
          <w:rFonts w:hint="eastAsia" w:cs="宋体"/>
          <w:color w:val="auto"/>
          <w:sz w:val="24"/>
          <w:szCs w:val="24"/>
        </w:rPr>
        <w:t>（</w:t>
      </w:r>
      <w:r>
        <w:rPr>
          <w:color w:val="auto"/>
          <w:sz w:val="24"/>
          <w:szCs w:val="24"/>
        </w:rPr>
        <w:t>2</w:t>
      </w:r>
      <w:r>
        <w:rPr>
          <w:rFonts w:hint="eastAsia" w:cs="宋体"/>
          <w:color w:val="auto"/>
          <w:sz w:val="24"/>
          <w:szCs w:val="24"/>
        </w:rPr>
        <w:t>）报价一览表</w:t>
      </w:r>
      <w:bookmarkEnd w:id="63"/>
    </w:p>
    <w:p>
      <w:pPr>
        <w:spacing w:line="360" w:lineRule="auto"/>
        <w:rPr>
          <w:color w:val="auto"/>
          <w:sz w:val="24"/>
          <w:szCs w:val="24"/>
        </w:rPr>
      </w:pPr>
      <w:bookmarkStart w:id="64" w:name="_Toc4942"/>
      <w:r>
        <w:rPr>
          <w:rFonts w:hint="eastAsia" w:cs="宋体"/>
          <w:color w:val="auto"/>
          <w:sz w:val="24"/>
          <w:szCs w:val="24"/>
        </w:rPr>
        <w:t>（</w:t>
      </w:r>
      <w:r>
        <w:rPr>
          <w:color w:val="auto"/>
          <w:sz w:val="24"/>
          <w:szCs w:val="24"/>
        </w:rPr>
        <w:t>3</w:t>
      </w:r>
      <w:r>
        <w:rPr>
          <w:rFonts w:hint="eastAsia" w:cs="宋体"/>
          <w:color w:val="auto"/>
          <w:sz w:val="24"/>
          <w:szCs w:val="24"/>
        </w:rPr>
        <w:t>）报价分项表</w:t>
      </w:r>
      <w:bookmarkEnd w:id="64"/>
    </w:p>
    <w:p>
      <w:pPr>
        <w:spacing w:line="360" w:lineRule="auto"/>
        <w:rPr>
          <w:color w:val="auto"/>
          <w:sz w:val="24"/>
          <w:szCs w:val="24"/>
        </w:rPr>
      </w:pPr>
      <w:bookmarkStart w:id="65" w:name="_Toc29169"/>
      <w:r>
        <w:rPr>
          <w:rFonts w:hint="eastAsia" w:cs="宋体"/>
          <w:color w:val="auto"/>
          <w:sz w:val="24"/>
          <w:szCs w:val="24"/>
        </w:rPr>
        <w:t>（</w:t>
      </w:r>
      <w:r>
        <w:rPr>
          <w:color w:val="auto"/>
          <w:sz w:val="24"/>
          <w:szCs w:val="24"/>
        </w:rPr>
        <w:t>4</w:t>
      </w:r>
      <w:r>
        <w:rPr>
          <w:rFonts w:hint="eastAsia" w:cs="宋体"/>
          <w:color w:val="auto"/>
          <w:sz w:val="24"/>
          <w:szCs w:val="24"/>
        </w:rPr>
        <w:t>）资格证明文件</w:t>
      </w:r>
      <w:bookmarkEnd w:id="65"/>
    </w:p>
    <w:p>
      <w:pPr>
        <w:spacing w:line="360" w:lineRule="auto"/>
        <w:rPr>
          <w:color w:val="auto"/>
          <w:sz w:val="24"/>
          <w:szCs w:val="24"/>
        </w:rPr>
      </w:pPr>
      <w:bookmarkStart w:id="66" w:name="_Toc31011"/>
      <w:r>
        <w:rPr>
          <w:rFonts w:hint="eastAsia" w:cs="宋体"/>
          <w:color w:val="auto"/>
          <w:sz w:val="24"/>
          <w:szCs w:val="24"/>
        </w:rPr>
        <w:t>（</w:t>
      </w:r>
      <w:r>
        <w:rPr>
          <w:color w:val="auto"/>
          <w:sz w:val="24"/>
          <w:szCs w:val="24"/>
        </w:rPr>
        <w:t>5</w:t>
      </w:r>
      <w:r>
        <w:rPr>
          <w:rFonts w:hint="eastAsia" w:cs="宋体"/>
          <w:color w:val="auto"/>
          <w:sz w:val="24"/>
          <w:szCs w:val="24"/>
        </w:rPr>
        <w:t>）技术和服务要求响应表</w:t>
      </w:r>
      <w:bookmarkEnd w:id="66"/>
    </w:p>
    <w:p>
      <w:pPr>
        <w:spacing w:line="360" w:lineRule="auto"/>
        <w:rPr>
          <w:color w:val="auto"/>
          <w:sz w:val="24"/>
          <w:szCs w:val="24"/>
        </w:rPr>
      </w:pPr>
      <w:bookmarkStart w:id="67" w:name="_Toc5745"/>
      <w:r>
        <w:rPr>
          <w:rFonts w:hint="eastAsia" w:cs="宋体"/>
          <w:color w:val="auto"/>
          <w:sz w:val="24"/>
          <w:szCs w:val="24"/>
        </w:rPr>
        <w:t>（</w:t>
      </w:r>
      <w:r>
        <w:rPr>
          <w:color w:val="auto"/>
          <w:sz w:val="24"/>
          <w:szCs w:val="24"/>
        </w:rPr>
        <w:t>6</w:t>
      </w:r>
      <w:r>
        <w:rPr>
          <w:rFonts w:hint="eastAsia" w:cs="宋体"/>
          <w:color w:val="auto"/>
          <w:sz w:val="24"/>
          <w:szCs w:val="24"/>
        </w:rPr>
        <w:t>）采购内容及要求的承诺书</w:t>
      </w:r>
      <w:bookmarkEnd w:id="67"/>
    </w:p>
    <w:p>
      <w:pPr>
        <w:spacing w:line="360" w:lineRule="auto"/>
        <w:rPr>
          <w:color w:val="auto"/>
          <w:sz w:val="24"/>
          <w:szCs w:val="24"/>
        </w:rPr>
      </w:pPr>
      <w:bookmarkStart w:id="68" w:name="_Toc4425"/>
      <w:r>
        <w:rPr>
          <w:rFonts w:hint="eastAsia" w:cs="宋体"/>
          <w:color w:val="auto"/>
          <w:sz w:val="24"/>
          <w:szCs w:val="24"/>
        </w:rPr>
        <w:t>（</w:t>
      </w:r>
      <w:r>
        <w:rPr>
          <w:color w:val="auto"/>
          <w:sz w:val="24"/>
          <w:szCs w:val="24"/>
        </w:rPr>
        <w:t>7</w:t>
      </w:r>
      <w:r>
        <w:rPr>
          <w:rFonts w:hint="eastAsia" w:cs="宋体"/>
          <w:color w:val="auto"/>
          <w:sz w:val="24"/>
          <w:szCs w:val="24"/>
        </w:rPr>
        <w:t>）提交的其他资料（若无此项资料则无需提供）</w:t>
      </w:r>
      <w:bookmarkEnd w:id="68"/>
    </w:p>
    <w:p>
      <w:pPr>
        <w:spacing w:line="360" w:lineRule="auto"/>
        <w:jc w:val="center"/>
        <w:outlineLvl w:val="1"/>
        <w:rPr>
          <w:b/>
          <w:bCs/>
          <w:color w:val="auto"/>
          <w:sz w:val="30"/>
          <w:szCs w:val="30"/>
        </w:rPr>
      </w:pPr>
      <w:r>
        <w:rPr>
          <w:rFonts w:hAnsi="宋体"/>
          <w:color w:val="auto"/>
        </w:rPr>
        <w:br w:type="page"/>
      </w:r>
      <w:bookmarkStart w:id="69" w:name="_Toc5006"/>
      <w:bookmarkStart w:id="70" w:name="_Toc1402"/>
      <w:bookmarkStart w:id="71" w:name="_Toc9767"/>
      <w:r>
        <w:rPr>
          <w:rFonts w:hint="eastAsia" w:cs="宋体"/>
          <w:b/>
          <w:bCs/>
          <w:color w:val="auto"/>
          <w:sz w:val="30"/>
          <w:szCs w:val="30"/>
        </w:rPr>
        <w:t>响应函</w:t>
      </w:r>
      <w:bookmarkEnd w:id="69"/>
      <w:bookmarkEnd w:id="70"/>
      <w:bookmarkEnd w:id="71"/>
    </w:p>
    <w:p>
      <w:pPr>
        <w:spacing w:line="360" w:lineRule="auto"/>
        <w:rPr>
          <w:rFonts w:ascii="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卓知项目管理顾问有限公司</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根据贵方为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项目的询价邀请（采购编号、合同包号）</w:t>
      </w:r>
      <w:r>
        <w:rPr>
          <w:rFonts w:ascii="宋体" w:hAnsi="宋体" w:cs="宋体"/>
          <w:color w:val="auto"/>
          <w:sz w:val="24"/>
          <w:szCs w:val="24"/>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，本签字代表</w:t>
      </w:r>
      <w:r>
        <w:rPr>
          <w:rFonts w:hint="eastAsia" w:ascii="宋体" w:hAnsi="宋体" w:cs="宋体"/>
          <w:color w:val="auto"/>
          <w:sz w:val="24"/>
          <w:szCs w:val="24"/>
          <w:u w:val="single"/>
        </w:rPr>
        <w:t>（全名、职务）</w:t>
      </w:r>
      <w:r>
        <w:rPr>
          <w:rFonts w:hint="eastAsia" w:ascii="宋体" w:hAnsi="宋体" w:cs="宋体"/>
          <w:color w:val="auto"/>
          <w:sz w:val="24"/>
          <w:szCs w:val="24"/>
        </w:rPr>
        <w:t>正式授权并代表询价供应商</w:t>
      </w:r>
      <w:r>
        <w:rPr>
          <w:rFonts w:hint="eastAsia" w:ascii="宋体" w:hAnsi="宋体" w:cs="宋体"/>
          <w:color w:val="auto"/>
          <w:sz w:val="24"/>
          <w:szCs w:val="24"/>
          <w:u w:val="single"/>
        </w:rPr>
        <w:t>（询价供应商名称、地址）</w:t>
      </w:r>
      <w:r>
        <w:rPr>
          <w:rFonts w:hint="eastAsia" w:ascii="宋体" w:hAnsi="宋体" w:cs="宋体"/>
          <w:color w:val="auto"/>
          <w:sz w:val="24"/>
          <w:szCs w:val="24"/>
        </w:rPr>
        <w:t>提交下述文件。</w:t>
      </w:r>
    </w:p>
    <w:p>
      <w:pPr>
        <w:spacing w:line="360" w:lineRule="auto"/>
        <w:ind w:firstLine="480" w:firstLineChars="200"/>
        <w:rPr>
          <w:rFonts w:ascii="宋体"/>
          <w:color w:val="auto"/>
          <w:sz w:val="24"/>
          <w:szCs w:val="24"/>
        </w:rPr>
      </w:pPr>
      <w:bookmarkStart w:id="72" w:name="_Toc7758"/>
      <w:r>
        <w:rPr>
          <w:rFonts w:ascii="宋体" w:hAnsi="宋体" w:cs="宋体"/>
          <w:color w:val="auto"/>
          <w:sz w:val="24"/>
          <w:szCs w:val="24"/>
        </w:rPr>
        <w:t xml:space="preserve">1 </w:t>
      </w:r>
      <w:r>
        <w:rPr>
          <w:rFonts w:hint="eastAsia" w:ascii="宋体" w:hAnsi="宋体" w:cs="宋体"/>
          <w:color w:val="auto"/>
          <w:sz w:val="24"/>
          <w:szCs w:val="24"/>
        </w:rPr>
        <w:t>响应书</w:t>
      </w:r>
      <w:bookmarkEnd w:id="72"/>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报价一览表</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报价分项表</w:t>
      </w:r>
    </w:p>
    <w:p>
      <w:pPr>
        <w:spacing w:line="360" w:lineRule="auto"/>
        <w:ind w:firstLine="480" w:firstLineChars="200"/>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资格证明文件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）已缴纳询价保证金的证明材料复印件；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）有效的法人营业执照复印件或其他法人登记证书复印件；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）法定代表人授权书原件（非法定代表人参加时提供）；</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）供应商投标截止时间前通过“信用中国”网站（</w:t>
      </w:r>
      <w:r>
        <w:rPr>
          <w:rFonts w:ascii="宋体" w:hAnsi="宋体" w:cs="宋体"/>
          <w:color w:val="auto"/>
          <w:sz w:val="24"/>
          <w:szCs w:val="24"/>
        </w:rPr>
        <w:t>www.creditchina.gov.cn</w:t>
      </w:r>
      <w:r>
        <w:rPr>
          <w:rFonts w:hint="eastAsia" w:ascii="宋体" w:hAnsi="宋体" w:cs="宋体"/>
          <w:color w:val="auto"/>
          <w:sz w:val="24"/>
          <w:szCs w:val="24"/>
        </w:rPr>
        <w:t>）查询并打印相应的信用记录，供应商提供的查询结果应为其通过上述网站获取的信用信息查询结果原始页面的打印件（或截图）；</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技术和服务要求响应表</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采购内容及要求的承诺书</w:t>
      </w:r>
    </w:p>
    <w:p>
      <w:pPr>
        <w:spacing w:line="360" w:lineRule="auto"/>
        <w:ind w:left="120" w:leftChars="57" w:firstLine="360" w:firstLineChars="15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提交的其他资料（若无此项资料则无需提供）</w:t>
      </w:r>
    </w:p>
    <w:p>
      <w:pPr>
        <w:spacing w:line="360" w:lineRule="auto"/>
        <w:ind w:firstLine="480" w:firstLineChars="200"/>
        <w:rPr>
          <w:rFonts w:ascii="宋体"/>
          <w:color w:val="auto"/>
          <w:sz w:val="24"/>
          <w:szCs w:val="24"/>
        </w:rPr>
      </w:pPr>
      <w:r>
        <w:rPr>
          <w:rFonts w:hint="eastAsia" w:ascii="宋体" w:hAnsi="宋体" w:cs="宋体"/>
          <w:color w:val="auto"/>
          <w:sz w:val="24"/>
          <w:szCs w:val="24"/>
        </w:rPr>
        <w:t>据此函，签字代表宣布同意如下：</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所附详细报价表中规定的应提供和交付的货物及服务报价总价（国内现场交货价）。</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已详细审查全部询价通知书，包括修改文件（如有的话）和有关附件，将自行承担因对全部询价通知书理解不正确或误解而产生的相应后果。</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保证遵守询价通知书的全部规定，所提交的材料中所含的信息均为真实、准确、完整，且不具有任何误导性。</w:t>
      </w:r>
    </w:p>
    <w:p>
      <w:pPr>
        <w:spacing w:line="360" w:lineRule="auto"/>
        <w:ind w:firstLine="480" w:firstLineChars="200"/>
        <w:outlineLvl w:val="1"/>
        <w:rPr>
          <w:rFonts w:ascii="宋体"/>
          <w:color w:val="auto"/>
          <w:sz w:val="24"/>
          <w:szCs w:val="24"/>
        </w:rPr>
      </w:pPr>
      <w:bookmarkStart w:id="73" w:name="_Toc20709"/>
      <w:r>
        <w:rPr>
          <w:rFonts w:ascii="宋体" w:hAnsi="宋体" w:cs="宋体"/>
          <w:color w:val="auto"/>
          <w:sz w:val="24"/>
          <w:szCs w:val="24"/>
        </w:rPr>
        <w:t>4.</w:t>
      </w:r>
      <w:r>
        <w:rPr>
          <w:rFonts w:hint="eastAsia" w:ascii="宋体" w:hAnsi="宋体" w:cs="宋体"/>
          <w:color w:val="auto"/>
          <w:sz w:val="24"/>
          <w:szCs w:val="24"/>
        </w:rPr>
        <w:t>将按询价通知书的规定履行合同责任和义务。</w:t>
      </w:r>
      <w:bookmarkEnd w:id="73"/>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本询价响应文件自询价采购会当日起询价响应有效期为</w:t>
      </w:r>
      <w:r>
        <w:rPr>
          <w:rFonts w:ascii="宋体" w:hAnsi="宋体" w:cs="宋体"/>
          <w:color w:val="auto"/>
          <w:sz w:val="24"/>
          <w:szCs w:val="24"/>
        </w:rPr>
        <w:t>90</w:t>
      </w:r>
      <w:r>
        <w:rPr>
          <w:rFonts w:hint="eastAsia" w:ascii="宋体" w:hAnsi="宋体" w:cs="宋体"/>
          <w:color w:val="auto"/>
          <w:sz w:val="24"/>
          <w:szCs w:val="24"/>
        </w:rPr>
        <w:t>个日历日，在询价通知书询价供应商须知前附表第</w:t>
      </w:r>
      <w:r>
        <w:rPr>
          <w:rFonts w:ascii="宋体" w:hAnsi="宋体" w:cs="宋体"/>
          <w:color w:val="auto"/>
          <w:sz w:val="24"/>
          <w:szCs w:val="24"/>
        </w:rPr>
        <w:t>3</w:t>
      </w:r>
      <w:r>
        <w:rPr>
          <w:rFonts w:hint="eastAsia" w:ascii="宋体" w:hAnsi="宋体" w:cs="宋体"/>
          <w:color w:val="auto"/>
          <w:sz w:val="24"/>
          <w:szCs w:val="24"/>
        </w:rPr>
        <w:t>项所规定的期限内保持有效。</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如果发生询价通知书第二章询价供应商须知第</w:t>
      </w:r>
      <w:r>
        <w:rPr>
          <w:rFonts w:ascii="宋体" w:hAnsi="宋体" w:cs="宋体"/>
          <w:color w:val="auto"/>
          <w:sz w:val="24"/>
          <w:szCs w:val="24"/>
        </w:rPr>
        <w:t>12</w:t>
      </w:r>
      <w:r>
        <w:rPr>
          <w:rFonts w:hint="eastAsia" w:ascii="宋体" w:hAnsi="宋体" w:cs="宋体"/>
          <w:color w:val="auto"/>
          <w:sz w:val="24"/>
          <w:szCs w:val="24"/>
        </w:rPr>
        <w:t>条所述情况，则同意招标代理机构不予退还询价保证金。如果存在提供虚假材料谋取成交的、采取不正当手段诋毁、排挤其他供应商的以及与采购单位或招标代理机构、其他询价供应商恶意串通的等情况，同意接受列入不良行为记录名单，在一至三年内禁止参加龙岩市采购活动等处罚，并同意予以公告。</w:t>
      </w:r>
    </w:p>
    <w:p>
      <w:pPr>
        <w:pStyle w:val="15"/>
        <w:spacing w:before="50" w:line="360" w:lineRule="auto"/>
        <w:ind w:left="0" w:leftChars="0"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保证遵守有关法律法规的规定，绝无作弊垄断或借用证照、串标、围标等不法情事，倘有违反规定导致被取消资格时，愿放弃所有与项目有关的权利，绝无异议。</w:t>
      </w:r>
    </w:p>
    <w:p>
      <w:pPr>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同意提供按照采购单位或招标代理机构可能要求的与其询价有关的一切数据或资料，完全理解贵方不一定要接受最低的报价或收到的任何询价响应文件。</w:t>
      </w:r>
    </w:p>
    <w:p>
      <w:pPr>
        <w:spacing w:line="360" w:lineRule="auto"/>
        <w:ind w:firstLine="480" w:firstLineChars="200"/>
        <w:outlineLvl w:val="1"/>
        <w:rPr>
          <w:rFonts w:ascii="宋体"/>
          <w:color w:val="auto"/>
          <w:sz w:val="24"/>
          <w:szCs w:val="24"/>
        </w:rPr>
      </w:pPr>
      <w:bookmarkStart w:id="74" w:name="_Toc4040"/>
      <w:r>
        <w:rPr>
          <w:rFonts w:ascii="宋体" w:hAnsi="宋体" w:cs="宋体"/>
          <w:color w:val="auto"/>
          <w:sz w:val="24"/>
          <w:szCs w:val="24"/>
        </w:rPr>
        <w:t>9.</w:t>
      </w:r>
      <w:r>
        <w:rPr>
          <w:rFonts w:hint="eastAsia" w:ascii="宋体" w:hAnsi="宋体" w:cs="宋体"/>
          <w:color w:val="auto"/>
          <w:sz w:val="24"/>
          <w:szCs w:val="24"/>
        </w:rPr>
        <w:t>与本询价有关的一切正式往来通讯请寄：</w:t>
      </w:r>
      <w:bookmarkEnd w:id="74"/>
    </w:p>
    <w:p>
      <w:pPr>
        <w:spacing w:line="360" w:lineRule="auto"/>
        <w:ind w:firstLine="480" w:firstLineChars="200"/>
        <w:rPr>
          <w:rFonts w:ascii="宋体"/>
          <w:color w:val="auto"/>
          <w:sz w:val="24"/>
          <w:szCs w:val="24"/>
          <w:u w:val="single"/>
        </w:rPr>
      </w:pPr>
      <w:r>
        <w:rPr>
          <w:rFonts w:hint="eastAsia" w:ascii="宋体" w:hAnsi="宋体" w:cs="宋体"/>
          <w:color w:val="auto"/>
          <w:sz w:val="24"/>
          <w:szCs w:val="24"/>
        </w:rPr>
        <w:t>地址：邮编：</w:t>
      </w:r>
    </w:p>
    <w:p>
      <w:pPr>
        <w:spacing w:line="360" w:lineRule="auto"/>
        <w:ind w:firstLine="480" w:firstLineChars="200"/>
        <w:rPr>
          <w:rFonts w:ascii="宋体"/>
          <w:color w:val="auto"/>
          <w:sz w:val="24"/>
          <w:szCs w:val="24"/>
          <w:u w:val="single"/>
        </w:rPr>
      </w:pPr>
      <w:r>
        <w:rPr>
          <w:rFonts w:hint="eastAsia" w:ascii="宋体" w:hAnsi="宋体" w:cs="宋体"/>
          <w:color w:val="auto"/>
          <w:sz w:val="24"/>
          <w:szCs w:val="24"/>
        </w:rPr>
        <w:t>电话：传真：</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u w:val="single"/>
        </w:rPr>
      </w:pPr>
      <w:r>
        <w:rPr>
          <w:rFonts w:hint="eastAsia" w:ascii="宋体" w:hAnsi="宋体" w:cs="宋体"/>
          <w:color w:val="auto"/>
          <w:sz w:val="24"/>
          <w:szCs w:val="24"/>
        </w:rPr>
        <w:t>询价供应商代表签字或盖章：</w:t>
      </w:r>
    </w:p>
    <w:p>
      <w:pPr>
        <w:spacing w:line="360" w:lineRule="auto"/>
        <w:ind w:firstLine="480" w:firstLineChars="200"/>
        <w:rPr>
          <w:rFonts w:ascii="宋体"/>
          <w:color w:val="auto"/>
          <w:sz w:val="24"/>
          <w:szCs w:val="24"/>
        </w:rPr>
      </w:pPr>
      <w:r>
        <w:rPr>
          <w:rFonts w:hint="eastAsia" w:ascii="宋体" w:hAnsi="宋体" w:cs="宋体"/>
          <w:color w:val="auto"/>
          <w:sz w:val="24"/>
          <w:szCs w:val="24"/>
        </w:rPr>
        <w:t>询价供应商（全称并加盖公章）：</w:t>
      </w:r>
    </w:p>
    <w:p>
      <w:pPr>
        <w:spacing w:line="360" w:lineRule="auto"/>
        <w:ind w:firstLine="480" w:firstLineChars="200"/>
        <w:rPr>
          <w:rFonts w:ascii="宋体"/>
          <w:color w:val="auto"/>
          <w:sz w:val="24"/>
          <w:szCs w:val="24"/>
        </w:rPr>
      </w:pPr>
      <w:r>
        <w:rPr>
          <w:rFonts w:hint="eastAsia" w:ascii="宋体" w:hAnsi="宋体" w:cs="宋体"/>
          <w:color w:val="auto"/>
          <w:sz w:val="24"/>
          <w:szCs w:val="24"/>
        </w:rPr>
        <w:t>日期：</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日</w:t>
      </w:r>
    </w:p>
    <w:p>
      <w:pPr>
        <w:rPr>
          <w:rFonts w:cs="宋体"/>
          <w:b/>
          <w:bCs/>
          <w:color w:val="auto"/>
          <w:sz w:val="32"/>
          <w:szCs w:val="32"/>
        </w:rPr>
      </w:pPr>
      <w:bookmarkStart w:id="75" w:name="_Toc31940"/>
      <w:r>
        <w:rPr>
          <w:rFonts w:hint="eastAsia" w:cs="宋体"/>
          <w:b/>
          <w:bCs/>
          <w:color w:val="auto"/>
          <w:sz w:val="32"/>
          <w:szCs w:val="32"/>
        </w:rPr>
        <w:br w:type="page"/>
      </w:r>
    </w:p>
    <w:p>
      <w:pPr>
        <w:jc w:val="center"/>
        <w:rPr>
          <w:b/>
          <w:bCs/>
          <w:color w:val="auto"/>
          <w:sz w:val="32"/>
          <w:szCs w:val="32"/>
        </w:rPr>
      </w:pPr>
      <w:r>
        <w:rPr>
          <w:rFonts w:hint="eastAsia" w:cs="宋体"/>
          <w:b/>
          <w:bCs/>
          <w:color w:val="auto"/>
          <w:sz w:val="32"/>
          <w:szCs w:val="32"/>
        </w:rPr>
        <w:t>报价一览表</w:t>
      </w:r>
      <w:bookmarkEnd w:id="75"/>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供应商名称：</w:t>
      </w:r>
      <w:r>
        <w:rPr>
          <w:rFonts w:hint="eastAsia" w:ascii="宋体" w:hAnsi="宋体" w:cs="宋体"/>
          <w:b/>
          <w:bCs/>
          <w:color w:val="auto"/>
          <w:sz w:val="24"/>
          <w:szCs w:val="24"/>
          <w:u w:val="single"/>
        </w:rPr>
        <w:t>（全称并加盖公章）</w:t>
      </w:r>
      <w:r>
        <w:rPr>
          <w:rFonts w:hint="eastAsia" w:ascii="宋体" w:hAnsi="宋体" w:cs="宋体"/>
          <w:color w:val="auto"/>
          <w:sz w:val="24"/>
          <w:szCs w:val="24"/>
        </w:rPr>
        <w:t>采购编号∶</w:t>
      </w: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货币单位：元</w:t>
      </w:r>
    </w:p>
    <w:tbl>
      <w:tblPr>
        <w:tblStyle w:val="29"/>
        <w:tblpPr w:leftFromText="180" w:rightFromText="180" w:vertAnchor="text" w:horzAnchor="page" w:tblpX="1793" w:tblpY="455"/>
        <w:tblOverlap w:val="never"/>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242" w:type="dxa"/>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合同包号</w:t>
            </w:r>
          </w:p>
        </w:tc>
        <w:tc>
          <w:tcPr>
            <w:tcW w:w="2977" w:type="dxa"/>
            <w:vAlign w:val="center"/>
          </w:tcPr>
          <w:p>
            <w:pPr>
              <w:spacing w:line="360" w:lineRule="auto"/>
              <w:jc w:val="center"/>
              <w:rPr>
                <w:rFonts w:ascii="宋体"/>
                <w:color w:val="auto"/>
                <w:sz w:val="24"/>
                <w:szCs w:val="24"/>
              </w:rPr>
            </w:pPr>
            <w:r>
              <w:rPr>
                <w:rFonts w:hint="eastAsia" w:ascii="宋体" w:hAnsi="宋体" w:cs="宋体"/>
                <w:color w:val="auto"/>
                <w:sz w:val="24"/>
                <w:szCs w:val="24"/>
              </w:rPr>
              <w:t>项目名称</w:t>
            </w:r>
          </w:p>
        </w:tc>
        <w:tc>
          <w:tcPr>
            <w:tcW w:w="4843"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投报总价（元）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rPr>
        <w:tc>
          <w:tcPr>
            <w:tcW w:w="1242" w:type="dxa"/>
            <w:vAlign w:val="center"/>
          </w:tcPr>
          <w:p>
            <w:pPr>
              <w:spacing w:line="360" w:lineRule="auto"/>
              <w:jc w:val="center"/>
              <w:rPr>
                <w:rFonts w:hint="eastAsia" w:ascii="宋体" w:eastAsia="宋体"/>
                <w:color w:val="auto"/>
                <w:sz w:val="24"/>
                <w:szCs w:val="24"/>
                <w:lang w:val="en-US" w:eastAsia="zh-CN"/>
              </w:rPr>
            </w:pPr>
            <w:r>
              <w:rPr>
                <w:rFonts w:hint="eastAsia" w:ascii="宋体"/>
                <w:color w:val="auto"/>
                <w:sz w:val="24"/>
                <w:szCs w:val="24"/>
                <w:lang w:val="en-US" w:eastAsia="zh-CN"/>
              </w:rPr>
              <w:t>1</w:t>
            </w:r>
          </w:p>
        </w:tc>
        <w:tc>
          <w:tcPr>
            <w:tcW w:w="2977" w:type="dxa"/>
            <w:vAlign w:val="center"/>
          </w:tcPr>
          <w:p>
            <w:pPr>
              <w:spacing w:line="360" w:lineRule="auto"/>
              <w:rPr>
                <w:rFonts w:hint="eastAsia" w:ascii="宋体" w:eastAsia="宋体"/>
                <w:color w:val="auto"/>
                <w:sz w:val="24"/>
                <w:szCs w:val="24"/>
                <w:lang w:eastAsia="zh-CN"/>
              </w:rPr>
            </w:pPr>
            <w:r>
              <w:rPr>
                <w:rFonts w:hint="eastAsia" w:ascii="宋体" w:hAnsi="宋体" w:cs="宋体"/>
                <w:color w:val="auto"/>
                <w:sz w:val="24"/>
                <w:szCs w:val="24"/>
                <w:lang w:eastAsia="zh-CN"/>
              </w:rPr>
              <w:t>龙岩学院火灾自动报警系统维护改造服务项目货物类采购项目</w:t>
            </w:r>
          </w:p>
        </w:tc>
        <w:tc>
          <w:tcPr>
            <w:tcW w:w="4843" w:type="dxa"/>
            <w:vAlign w:val="center"/>
          </w:tcPr>
          <w:p>
            <w:pPr>
              <w:spacing w:line="360" w:lineRule="auto"/>
              <w:jc w:val="left"/>
              <w:rPr>
                <w:rFonts w:ascii="宋体"/>
                <w:color w:val="auto"/>
                <w:sz w:val="24"/>
                <w:szCs w:val="24"/>
              </w:rPr>
            </w:pPr>
            <w:r>
              <w:rPr>
                <w:rFonts w:hint="eastAsia" w:ascii="宋体" w:hAnsi="宋体" w:cs="宋体"/>
                <w:color w:val="auto"/>
                <w:sz w:val="24"/>
                <w:szCs w:val="24"/>
              </w:rPr>
              <w:t>大写：</w:t>
            </w:r>
          </w:p>
          <w:p>
            <w:pPr>
              <w:spacing w:line="360" w:lineRule="auto"/>
              <w:jc w:val="left"/>
              <w:rPr>
                <w:rFonts w:ascii="宋体"/>
                <w:color w:val="auto"/>
                <w:sz w:val="24"/>
                <w:szCs w:val="24"/>
              </w:rPr>
            </w:pPr>
          </w:p>
          <w:p>
            <w:pPr>
              <w:spacing w:line="360" w:lineRule="auto"/>
              <w:jc w:val="left"/>
              <w:rPr>
                <w:rFonts w:ascii="宋体"/>
                <w:color w:val="auto"/>
                <w:sz w:val="24"/>
                <w:szCs w:val="24"/>
              </w:rPr>
            </w:pPr>
            <w:r>
              <w:rPr>
                <w:rFonts w:hint="eastAsia" w:ascii="宋体" w:hAnsi="宋体" w:cs="宋体"/>
                <w:color w:val="auto"/>
                <w:sz w:val="24"/>
                <w:szCs w:val="24"/>
              </w:rPr>
              <w:t>小写：</w:t>
            </w:r>
          </w:p>
        </w:tc>
      </w:tr>
    </w:tbl>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供应商代表签字或盖章：</w:t>
      </w:r>
    </w:p>
    <w:p>
      <w:pPr>
        <w:pStyle w:val="91"/>
        <w:spacing w:line="360" w:lineRule="auto"/>
        <w:ind w:firstLine="560" w:firstLineChars="200"/>
        <w:jc w:val="left"/>
        <w:outlineLvl w:val="9"/>
        <w:rPr>
          <w:rFonts w:hAnsi="宋体" w:cs="Times New Roman"/>
          <w:color w:val="auto"/>
        </w:rPr>
      </w:pPr>
    </w:p>
    <w:p>
      <w:pPr>
        <w:pStyle w:val="91"/>
        <w:spacing w:line="360" w:lineRule="auto"/>
        <w:ind w:firstLine="560" w:firstLineChars="200"/>
        <w:jc w:val="left"/>
        <w:outlineLvl w:val="9"/>
        <w:rPr>
          <w:rFonts w:hAnsi="宋体" w:cs="Times New Roman"/>
          <w:color w:val="auto"/>
        </w:rPr>
      </w:pPr>
    </w:p>
    <w:p>
      <w:pPr>
        <w:pStyle w:val="91"/>
        <w:spacing w:line="360" w:lineRule="auto"/>
        <w:ind w:firstLine="560" w:firstLineChars="200"/>
        <w:jc w:val="left"/>
        <w:outlineLvl w:val="9"/>
        <w:rPr>
          <w:rFonts w:hAnsi="宋体" w:cs="Times New Roman"/>
          <w:color w:val="auto"/>
        </w:rPr>
      </w:pPr>
    </w:p>
    <w:p>
      <w:pPr>
        <w:pStyle w:val="91"/>
        <w:spacing w:line="360" w:lineRule="auto"/>
        <w:ind w:firstLine="560" w:firstLineChars="200"/>
        <w:jc w:val="left"/>
        <w:outlineLvl w:val="9"/>
        <w:rPr>
          <w:rFonts w:hAnsi="宋体" w:cs="Times New Roman"/>
          <w:color w:val="auto"/>
        </w:rPr>
      </w:pPr>
    </w:p>
    <w:p>
      <w:pPr>
        <w:pStyle w:val="91"/>
        <w:spacing w:line="360" w:lineRule="auto"/>
        <w:jc w:val="left"/>
        <w:outlineLvl w:val="9"/>
        <w:rPr>
          <w:rFonts w:hAnsi="宋体" w:cs="Times New Roman"/>
          <w:color w:val="auto"/>
        </w:rPr>
      </w:pPr>
    </w:p>
    <w:p>
      <w:pPr>
        <w:pStyle w:val="91"/>
        <w:spacing w:line="360" w:lineRule="auto"/>
        <w:ind w:firstLine="723" w:firstLineChars="200"/>
        <w:jc w:val="center"/>
        <w:outlineLvl w:val="9"/>
        <w:rPr>
          <w:rFonts w:hAnsi="宋体" w:cs="Times New Roman"/>
          <w:b/>
          <w:bCs/>
          <w:color w:val="auto"/>
          <w:sz w:val="36"/>
          <w:szCs w:val="36"/>
        </w:rPr>
      </w:pPr>
    </w:p>
    <w:p>
      <w:pPr>
        <w:pStyle w:val="91"/>
        <w:spacing w:line="360" w:lineRule="auto"/>
        <w:ind w:firstLine="723" w:firstLineChars="200"/>
        <w:jc w:val="center"/>
        <w:outlineLvl w:val="9"/>
        <w:rPr>
          <w:rFonts w:hAnsi="宋体" w:cs="Times New Roman"/>
          <w:b/>
          <w:bCs/>
          <w:color w:val="auto"/>
          <w:sz w:val="36"/>
          <w:szCs w:val="36"/>
        </w:rPr>
      </w:pPr>
    </w:p>
    <w:p>
      <w:pPr>
        <w:pStyle w:val="91"/>
        <w:spacing w:line="360" w:lineRule="auto"/>
        <w:ind w:firstLine="723" w:firstLineChars="200"/>
        <w:jc w:val="center"/>
        <w:outlineLvl w:val="9"/>
        <w:rPr>
          <w:rFonts w:hAnsi="宋体" w:cs="Times New Roman"/>
          <w:b/>
          <w:bCs/>
          <w:color w:val="auto"/>
          <w:sz w:val="36"/>
          <w:szCs w:val="36"/>
        </w:rPr>
      </w:pPr>
    </w:p>
    <w:p>
      <w:pPr>
        <w:pStyle w:val="91"/>
        <w:spacing w:line="360" w:lineRule="auto"/>
        <w:ind w:firstLine="723" w:firstLineChars="200"/>
        <w:jc w:val="center"/>
        <w:outlineLvl w:val="9"/>
        <w:rPr>
          <w:rFonts w:hAnsi="宋体" w:cs="Times New Roman"/>
          <w:b/>
          <w:bCs/>
          <w:color w:val="auto"/>
          <w:sz w:val="36"/>
          <w:szCs w:val="36"/>
        </w:rPr>
      </w:pPr>
    </w:p>
    <w:p>
      <w:pPr>
        <w:pStyle w:val="91"/>
        <w:spacing w:line="360" w:lineRule="auto"/>
        <w:ind w:firstLine="723" w:firstLineChars="200"/>
        <w:jc w:val="center"/>
        <w:outlineLvl w:val="9"/>
        <w:rPr>
          <w:rFonts w:hAnsi="宋体" w:cs="Times New Roman"/>
          <w:b/>
          <w:bCs/>
          <w:color w:val="auto"/>
          <w:sz w:val="36"/>
          <w:szCs w:val="36"/>
        </w:rPr>
      </w:pPr>
    </w:p>
    <w:p>
      <w:pPr>
        <w:jc w:val="center"/>
        <w:rPr>
          <w:rFonts w:cs="宋体"/>
          <w:b/>
          <w:bCs/>
          <w:color w:val="auto"/>
          <w:sz w:val="32"/>
          <w:szCs w:val="32"/>
        </w:rPr>
      </w:pPr>
      <w:bookmarkStart w:id="76" w:name="_Toc2829"/>
    </w:p>
    <w:p>
      <w:pPr>
        <w:jc w:val="center"/>
        <w:rPr>
          <w:rFonts w:cs="宋体"/>
          <w:b/>
          <w:bCs/>
          <w:color w:val="auto"/>
          <w:sz w:val="32"/>
          <w:szCs w:val="32"/>
        </w:rPr>
      </w:pPr>
    </w:p>
    <w:p>
      <w:pPr>
        <w:jc w:val="center"/>
        <w:rPr>
          <w:b/>
          <w:bCs/>
          <w:color w:val="auto"/>
          <w:sz w:val="32"/>
          <w:szCs w:val="32"/>
        </w:rPr>
      </w:pPr>
      <w:r>
        <w:rPr>
          <w:rFonts w:hint="eastAsia" w:cs="宋体"/>
          <w:b/>
          <w:bCs/>
          <w:color w:val="auto"/>
          <w:sz w:val="32"/>
          <w:szCs w:val="32"/>
        </w:rPr>
        <w:t>报价分项表</w:t>
      </w:r>
      <w:bookmarkEnd w:id="76"/>
    </w:p>
    <w:p>
      <w:pPr>
        <w:spacing w:line="360" w:lineRule="auto"/>
        <w:rPr>
          <w:rFonts w:ascii="宋体"/>
          <w:color w:val="auto"/>
          <w:sz w:val="24"/>
          <w:szCs w:val="24"/>
        </w:rPr>
      </w:pPr>
      <w:r>
        <w:rPr>
          <w:rFonts w:hint="eastAsia" w:ascii="宋体" w:hAnsi="宋体" w:cs="宋体"/>
          <w:color w:val="auto"/>
          <w:sz w:val="24"/>
          <w:szCs w:val="24"/>
        </w:rPr>
        <w:t>供应商名称：</w:t>
      </w:r>
      <w:r>
        <w:rPr>
          <w:rFonts w:hint="eastAsia" w:ascii="宋体" w:hAnsi="宋体" w:cs="宋体"/>
          <w:b/>
          <w:bCs/>
          <w:color w:val="auto"/>
          <w:sz w:val="24"/>
          <w:szCs w:val="24"/>
          <w:u w:val="single"/>
        </w:rPr>
        <w:t>（全称并加盖公章）</w:t>
      </w:r>
      <w:r>
        <w:rPr>
          <w:rFonts w:hint="eastAsia" w:ascii="宋体" w:hAnsi="宋体" w:cs="宋体"/>
          <w:b/>
          <w:bCs/>
          <w:color w:val="auto"/>
          <w:sz w:val="24"/>
          <w:szCs w:val="24"/>
          <w:lang w:val="en-US" w:eastAsia="zh-CN"/>
        </w:rPr>
        <w:t xml:space="preserve"> </w:t>
      </w:r>
      <w:r>
        <w:rPr>
          <w:rFonts w:hint="eastAsia" w:ascii="宋体" w:hAnsi="宋体" w:cs="宋体"/>
          <w:color w:val="auto"/>
          <w:sz w:val="24"/>
          <w:szCs w:val="24"/>
        </w:rPr>
        <w:t>采购编号∶</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货币单位：元</w:t>
      </w:r>
    </w:p>
    <w:tbl>
      <w:tblPr>
        <w:tblStyle w:val="29"/>
        <w:tblW w:w="909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48"/>
        <w:gridCol w:w="797"/>
        <w:gridCol w:w="1635"/>
        <w:gridCol w:w="1391"/>
        <w:gridCol w:w="1163"/>
        <w:gridCol w:w="1054"/>
        <w:gridCol w:w="1120"/>
        <w:gridCol w:w="118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r>
              <w:rPr>
                <w:rFonts w:hint="eastAsia" w:ascii="宋体" w:hAnsi="宋体"/>
                <w:color w:val="auto"/>
                <w:sz w:val="24"/>
              </w:rPr>
              <w:t>合同包号</w:t>
            </w:r>
          </w:p>
        </w:tc>
        <w:tc>
          <w:tcPr>
            <w:tcW w:w="797"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r>
              <w:rPr>
                <w:rFonts w:hint="eastAsia" w:ascii="宋体" w:hAnsi="宋体"/>
                <w:color w:val="auto"/>
                <w:sz w:val="24"/>
              </w:rPr>
              <w:t>品目号</w:t>
            </w:r>
          </w:p>
        </w:tc>
        <w:tc>
          <w:tcPr>
            <w:tcW w:w="1635" w:type="dxa"/>
            <w:tcBorders>
              <w:top w:val="outset" w:color="000000" w:sz="6" w:space="0"/>
              <w:left w:val="outset" w:color="000000" w:sz="6" w:space="0"/>
              <w:bottom w:val="single" w:color="auto" w:sz="4" w:space="0"/>
              <w:right w:val="outset" w:color="000000" w:sz="6" w:space="0"/>
            </w:tcBorders>
            <w:shd w:val="clear" w:color="auto" w:fill="FFFFFF"/>
          </w:tcPr>
          <w:p>
            <w:pPr>
              <w:jc w:val="center"/>
              <w:rPr>
                <w:rFonts w:ascii="宋体" w:hAnsi="宋体"/>
                <w:color w:val="auto"/>
                <w:sz w:val="24"/>
              </w:rPr>
            </w:pPr>
            <w:r>
              <w:rPr>
                <w:rFonts w:hint="eastAsia" w:ascii="宋体" w:hAnsi="宋体"/>
                <w:color w:val="auto"/>
                <w:sz w:val="24"/>
              </w:rPr>
              <w:t>品牌、具体型号</w:t>
            </w:r>
          </w:p>
        </w:tc>
        <w:tc>
          <w:tcPr>
            <w:tcW w:w="1391" w:type="dxa"/>
            <w:tcBorders>
              <w:top w:val="outset" w:color="000000" w:sz="6" w:space="0"/>
              <w:left w:val="outset" w:color="000000" w:sz="6" w:space="0"/>
              <w:bottom w:val="single" w:color="auto" w:sz="4" w:space="0"/>
              <w:right w:val="outset" w:color="000000" w:sz="6" w:space="0"/>
            </w:tcBorders>
            <w:shd w:val="clear" w:color="auto" w:fill="FFFFFF"/>
          </w:tcPr>
          <w:p>
            <w:pPr>
              <w:rPr>
                <w:rFonts w:ascii="宋体" w:hAnsi="宋体"/>
                <w:color w:val="auto"/>
                <w:sz w:val="24"/>
              </w:rPr>
            </w:pPr>
            <w:r>
              <w:rPr>
                <w:rFonts w:hint="eastAsia" w:ascii="宋体" w:hAnsi="宋体"/>
                <w:color w:val="auto"/>
                <w:sz w:val="24"/>
              </w:rPr>
              <w:t>生产产地</w:t>
            </w:r>
          </w:p>
        </w:tc>
        <w:tc>
          <w:tcPr>
            <w:tcW w:w="1163"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r>
              <w:rPr>
                <w:rFonts w:hint="eastAsia" w:ascii="宋体" w:hAnsi="宋体"/>
                <w:color w:val="auto"/>
                <w:sz w:val="24"/>
              </w:rPr>
              <w:t>数量</w:t>
            </w:r>
          </w:p>
        </w:tc>
        <w:tc>
          <w:tcPr>
            <w:tcW w:w="1054"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r>
              <w:rPr>
                <w:rFonts w:hint="eastAsia" w:ascii="宋体" w:hAnsi="宋体"/>
                <w:color w:val="auto"/>
                <w:sz w:val="24"/>
              </w:rPr>
              <w:t>单价</w:t>
            </w:r>
          </w:p>
        </w:tc>
        <w:tc>
          <w:tcPr>
            <w:tcW w:w="1120"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r>
              <w:rPr>
                <w:rFonts w:hint="eastAsia" w:ascii="宋体" w:hAnsi="宋体"/>
                <w:color w:val="auto"/>
                <w:sz w:val="24"/>
              </w:rPr>
              <w:t>小计</w:t>
            </w:r>
          </w:p>
        </w:tc>
        <w:tc>
          <w:tcPr>
            <w:tcW w:w="1188"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r>
              <w:rPr>
                <w:rFonts w:hint="eastAsia" w:ascii="宋体" w:hAnsi="宋体"/>
                <w:color w:val="auto"/>
                <w:sz w:val="24"/>
              </w:rPr>
              <w:t>总价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7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1635"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391"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054"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7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1635"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391"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054"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7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1635"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391"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054"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7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1635"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391"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054"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7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c>
          <w:tcPr>
            <w:tcW w:w="1635"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391"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054"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olor w:val="auto"/>
                <w:sz w:val="24"/>
              </w:rPr>
            </w:pPr>
          </w:p>
        </w:tc>
        <w:tc>
          <w:tcPr>
            <w:tcW w:w="1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olor w:val="auto"/>
                <w:sz w:val="24"/>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 w:hRule="atLeast"/>
          <w:jc w:val="center"/>
        </w:trPr>
        <w:tc>
          <w:tcPr>
            <w:tcW w:w="748" w:type="dxa"/>
            <w:tcBorders>
              <w:top w:val="outset" w:color="000000" w:sz="6" w:space="0"/>
              <w:left w:val="outset" w:color="000000" w:sz="6" w:space="0"/>
              <w:right w:val="outset" w:color="000000" w:sz="6" w:space="0"/>
            </w:tcBorders>
            <w:shd w:val="clear" w:color="auto" w:fill="FFFFFF"/>
            <w:vAlign w:val="center"/>
          </w:tcPr>
          <w:p>
            <w:pPr>
              <w:jc w:val="center"/>
              <w:rPr>
                <w:rFonts w:ascii="宋体" w:hAnsi="宋体"/>
                <w:color w:val="auto"/>
                <w:sz w:val="24"/>
              </w:rPr>
            </w:pPr>
          </w:p>
        </w:tc>
        <w:tc>
          <w:tcPr>
            <w:tcW w:w="797"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color w:val="auto"/>
                <w:sz w:val="24"/>
              </w:rPr>
            </w:pPr>
          </w:p>
        </w:tc>
        <w:tc>
          <w:tcPr>
            <w:tcW w:w="1635" w:type="dxa"/>
            <w:tcBorders>
              <w:top w:val="outset" w:color="000000" w:sz="6" w:space="0"/>
              <w:left w:val="outset" w:color="000000" w:sz="6" w:space="0"/>
              <w:bottom w:val="single" w:color="auto" w:sz="4" w:space="0"/>
              <w:right w:val="outset" w:color="000000" w:sz="6" w:space="0"/>
            </w:tcBorders>
            <w:shd w:val="clear" w:color="auto" w:fill="FFFFFF"/>
          </w:tcPr>
          <w:p>
            <w:pPr>
              <w:jc w:val="left"/>
              <w:rPr>
                <w:rFonts w:ascii="宋体" w:hAnsi="宋体"/>
                <w:color w:val="auto"/>
                <w:sz w:val="24"/>
              </w:rPr>
            </w:pPr>
          </w:p>
        </w:tc>
        <w:tc>
          <w:tcPr>
            <w:tcW w:w="1391" w:type="dxa"/>
            <w:tcBorders>
              <w:top w:val="outset" w:color="000000" w:sz="6" w:space="0"/>
              <w:left w:val="outset" w:color="000000" w:sz="6" w:space="0"/>
              <w:bottom w:val="single" w:color="auto" w:sz="4" w:space="0"/>
              <w:right w:val="outset" w:color="000000" w:sz="6" w:space="0"/>
            </w:tcBorders>
            <w:shd w:val="clear" w:color="auto" w:fill="FFFFFF"/>
          </w:tcPr>
          <w:p>
            <w:pPr>
              <w:jc w:val="left"/>
              <w:rPr>
                <w:rFonts w:ascii="宋体" w:hAnsi="宋体"/>
                <w:color w:val="auto"/>
                <w:sz w:val="24"/>
              </w:rPr>
            </w:pPr>
          </w:p>
        </w:tc>
        <w:tc>
          <w:tcPr>
            <w:tcW w:w="1163"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left"/>
              <w:rPr>
                <w:rFonts w:ascii="宋体" w:hAnsi="宋体"/>
                <w:color w:val="auto"/>
                <w:sz w:val="24"/>
              </w:rPr>
            </w:pPr>
          </w:p>
        </w:tc>
        <w:tc>
          <w:tcPr>
            <w:tcW w:w="1054" w:type="dxa"/>
            <w:tcBorders>
              <w:top w:val="outset" w:color="000000" w:sz="6" w:space="0"/>
              <w:left w:val="outset" w:color="000000" w:sz="6" w:space="0"/>
              <w:bottom w:val="single" w:color="auto" w:sz="4" w:space="0"/>
              <w:right w:val="outset" w:color="000000" w:sz="6" w:space="0"/>
            </w:tcBorders>
            <w:shd w:val="clear" w:color="auto" w:fill="FFFFFF"/>
          </w:tcPr>
          <w:p>
            <w:pPr>
              <w:jc w:val="left"/>
              <w:rPr>
                <w:rFonts w:ascii="宋体" w:hAnsi="宋体"/>
                <w:color w:val="auto"/>
                <w:sz w:val="24"/>
              </w:rPr>
            </w:pPr>
          </w:p>
        </w:tc>
        <w:tc>
          <w:tcPr>
            <w:tcW w:w="1120"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left"/>
              <w:rPr>
                <w:rFonts w:ascii="宋体" w:hAnsi="宋体"/>
                <w:color w:val="auto"/>
                <w:sz w:val="24"/>
              </w:rPr>
            </w:pPr>
          </w:p>
        </w:tc>
        <w:tc>
          <w:tcPr>
            <w:tcW w:w="1188" w:type="dxa"/>
            <w:tcBorders>
              <w:top w:val="outset" w:color="000000" w:sz="6" w:space="0"/>
              <w:left w:val="outset" w:color="000000" w:sz="6" w:space="0"/>
              <w:right w:val="outset" w:color="000000" w:sz="6" w:space="0"/>
            </w:tcBorders>
            <w:shd w:val="clear" w:color="auto" w:fill="FFFFFF"/>
            <w:vAlign w:val="center"/>
          </w:tcPr>
          <w:p>
            <w:pPr>
              <w:jc w:val="center"/>
              <w:rPr>
                <w:rFonts w:ascii="宋体" w:hAnsi="宋体"/>
                <w:color w:val="auto"/>
                <w:sz w:val="24"/>
              </w:rPr>
            </w:pPr>
          </w:p>
        </w:tc>
      </w:tr>
    </w:tbl>
    <w:p>
      <w:pPr>
        <w:spacing w:line="360" w:lineRule="auto"/>
        <w:ind w:firstLine="482" w:firstLineChars="200"/>
        <w:rPr>
          <w:rFonts w:hAnsi="宋体"/>
          <w:b/>
          <w:bCs/>
          <w:color w:val="auto"/>
          <w:sz w:val="24"/>
          <w:szCs w:val="24"/>
          <w:u w:val="single"/>
        </w:rPr>
      </w:pPr>
      <w:r>
        <w:rPr>
          <w:rFonts w:hint="eastAsia" w:ascii="黑体" w:hAnsi="宋体" w:eastAsia="黑体" w:cs="黑体"/>
          <w:b/>
          <w:bCs/>
          <w:color w:val="auto"/>
          <w:sz w:val="24"/>
          <w:szCs w:val="24"/>
        </w:rPr>
        <w:t>注：</w:t>
      </w:r>
      <w:r>
        <w:rPr>
          <w:rFonts w:hint="eastAsia" w:ascii="黑体" w:hAnsi="宋体" w:eastAsia="黑体" w:cs="黑体"/>
          <w:b/>
          <w:bCs/>
          <w:color w:val="auto"/>
          <w:sz w:val="24"/>
          <w:szCs w:val="24"/>
          <w:u w:val="single"/>
        </w:rPr>
        <w:t>供应商须按各相应的附件具体参数详细完整填报所投报的合同包各序号产品的品牌、具体型号、生产产地，否则重大偏离，视为未实质性响应询价通知书要求，投标无效。所投产品无具体型号的，在“备注”栏中说明“无具体型号”。</w:t>
      </w:r>
    </w:p>
    <w:p>
      <w:pPr>
        <w:spacing w:line="360" w:lineRule="auto"/>
        <w:ind w:firstLine="482" w:firstLineChars="200"/>
        <w:rPr>
          <w:rFonts w:ascii="黑体" w:hAnsi="宋体" w:eastAsia="黑体"/>
          <w:b/>
          <w:bCs/>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供应商代表签字或盖章：</w:t>
      </w:r>
    </w:p>
    <w:p>
      <w:pPr>
        <w:rPr>
          <w:rFonts w:cs="宋体"/>
          <w:b/>
          <w:bCs/>
          <w:color w:val="auto"/>
          <w:sz w:val="32"/>
          <w:szCs w:val="32"/>
        </w:rPr>
      </w:pPr>
      <w:bookmarkStart w:id="77" w:name="_Toc10215"/>
      <w:r>
        <w:rPr>
          <w:rFonts w:hint="eastAsia" w:cs="宋体"/>
          <w:b/>
          <w:bCs/>
          <w:color w:val="auto"/>
          <w:sz w:val="32"/>
          <w:szCs w:val="32"/>
        </w:rPr>
        <w:br w:type="page"/>
      </w:r>
    </w:p>
    <w:p>
      <w:pPr>
        <w:jc w:val="center"/>
        <w:rPr>
          <w:b/>
          <w:bCs/>
          <w:color w:val="auto"/>
          <w:sz w:val="32"/>
          <w:szCs w:val="32"/>
        </w:rPr>
      </w:pPr>
      <w:r>
        <w:rPr>
          <w:rFonts w:hint="eastAsia" w:cs="宋体"/>
          <w:b/>
          <w:bCs/>
          <w:color w:val="auto"/>
          <w:sz w:val="32"/>
          <w:szCs w:val="32"/>
        </w:rPr>
        <w:t>资格证明文件</w:t>
      </w:r>
      <w:bookmarkEnd w:id="77"/>
    </w:p>
    <w:p>
      <w:pPr>
        <w:spacing w:line="360" w:lineRule="auto"/>
        <w:ind w:firstLine="482" w:firstLineChars="200"/>
        <w:jc w:val="center"/>
        <w:rPr>
          <w:rFonts w:ascii="宋体"/>
          <w:b/>
          <w:bCs/>
          <w:color w:val="auto"/>
          <w:sz w:val="24"/>
          <w:szCs w:val="24"/>
        </w:rPr>
      </w:pPr>
    </w:p>
    <w:p>
      <w:pPr>
        <w:spacing w:line="360" w:lineRule="auto"/>
        <w:jc w:val="center"/>
        <w:rPr>
          <w:b/>
          <w:bCs/>
          <w:color w:val="auto"/>
          <w:sz w:val="24"/>
          <w:szCs w:val="24"/>
        </w:rPr>
      </w:pPr>
      <w:bookmarkStart w:id="78" w:name="_Toc27693"/>
      <w:r>
        <w:rPr>
          <w:rFonts w:hint="eastAsia" w:cs="宋体"/>
          <w:b/>
          <w:bCs/>
          <w:color w:val="auto"/>
          <w:sz w:val="24"/>
          <w:szCs w:val="24"/>
        </w:rPr>
        <w:t>已缴纳询价保证金的证明材料复印件</w:t>
      </w:r>
      <w:bookmarkEnd w:id="78"/>
    </w:p>
    <w:p>
      <w:pPr>
        <w:spacing w:line="400" w:lineRule="exact"/>
        <w:ind w:firstLine="420" w:firstLineChars="200"/>
        <w:outlineLvl w:val="1"/>
        <w:rPr>
          <w:rFonts w:ascii="宋体"/>
          <w:color w:val="auto"/>
        </w:rPr>
      </w:pPr>
      <w:bookmarkStart w:id="79" w:name="_Toc16407"/>
      <w:r>
        <w:rPr>
          <w:rFonts w:ascii="宋体" w:hAnsi="宋体" w:cs="宋体"/>
          <w:color w:val="auto"/>
        </w:rPr>
        <w:t>1</w:t>
      </w:r>
      <w:r>
        <w:rPr>
          <w:rFonts w:hint="eastAsia" w:ascii="宋体" w:hAnsi="宋体" w:cs="宋体"/>
          <w:color w:val="auto"/>
        </w:rPr>
        <w:t>、询价保证金应采用人民币，并以银行转账或汇票方式提交。</w:t>
      </w:r>
      <w:bookmarkEnd w:id="79"/>
    </w:p>
    <w:p>
      <w:pPr>
        <w:spacing w:line="400" w:lineRule="exact"/>
        <w:ind w:firstLine="420" w:firstLineChars="200"/>
        <w:rPr>
          <w:rFonts w:ascii="宋体"/>
          <w:color w:val="auto"/>
        </w:rPr>
      </w:pPr>
      <w:r>
        <w:rPr>
          <w:rFonts w:ascii="宋体" w:hAnsi="宋体" w:cs="宋体"/>
          <w:color w:val="auto"/>
        </w:rPr>
        <w:t>2</w:t>
      </w:r>
      <w:r>
        <w:rPr>
          <w:rFonts w:hint="eastAsia" w:ascii="宋体" w:hAnsi="宋体" w:cs="宋体"/>
          <w:color w:val="auto"/>
        </w:rPr>
        <w:t>、若采取银行转账方式缴纳，请供应商将银行进账单复印件（加盖公章）粘贴在本页空白处。</w:t>
      </w:r>
    </w:p>
    <w:p>
      <w:pPr>
        <w:spacing w:line="400" w:lineRule="exact"/>
        <w:ind w:firstLine="420" w:firstLineChars="200"/>
        <w:rPr>
          <w:rFonts w:ascii="宋体"/>
          <w:color w:val="auto"/>
        </w:rPr>
      </w:pPr>
      <w:r>
        <w:rPr>
          <w:rFonts w:ascii="宋体" w:hAnsi="宋体" w:cs="宋体"/>
          <w:color w:val="auto"/>
        </w:rPr>
        <w:t>3</w:t>
      </w:r>
      <w:r>
        <w:rPr>
          <w:rFonts w:hint="eastAsia" w:ascii="宋体" w:hAnsi="宋体" w:cs="宋体"/>
          <w:color w:val="auto"/>
        </w:rPr>
        <w:t>、若采取银行汇票缴纳，请供应商将银行汇票原件提交至招标代理机构。</w:t>
      </w:r>
    </w:p>
    <w:p>
      <w:pPr>
        <w:spacing w:line="400" w:lineRule="exact"/>
        <w:ind w:firstLine="420" w:firstLineChars="200"/>
        <w:rPr>
          <w:rFonts w:ascii="宋体"/>
          <w:color w:val="auto"/>
        </w:rPr>
      </w:pPr>
      <w:r>
        <w:rPr>
          <w:rFonts w:ascii="宋体" w:hAnsi="宋体" w:cs="宋体"/>
          <w:color w:val="auto"/>
        </w:rPr>
        <w:t>4</w:t>
      </w:r>
      <w:r>
        <w:rPr>
          <w:rFonts w:hint="eastAsia" w:ascii="宋体" w:hAnsi="宋体" w:cs="宋体"/>
          <w:color w:val="auto"/>
        </w:rPr>
        <w:t>、供应商应保证询价保证金在开标前到达招标代理机构银行账户，否则该投报将被视为无效。</w:t>
      </w:r>
    </w:p>
    <w:p>
      <w:pPr>
        <w:spacing w:line="400" w:lineRule="exact"/>
        <w:ind w:firstLine="420" w:firstLineChars="200"/>
        <w:outlineLvl w:val="1"/>
        <w:rPr>
          <w:rFonts w:ascii="宋体"/>
          <w:color w:val="auto"/>
        </w:rPr>
      </w:pPr>
      <w:bookmarkStart w:id="80" w:name="_Toc13113"/>
      <w:r>
        <w:rPr>
          <w:rFonts w:ascii="宋体" w:hAnsi="宋体" w:cs="宋体"/>
          <w:color w:val="auto"/>
        </w:rPr>
        <w:t>5</w:t>
      </w:r>
      <w:r>
        <w:rPr>
          <w:rFonts w:hint="eastAsia" w:ascii="宋体" w:hAnsi="宋体" w:cs="宋体"/>
          <w:color w:val="auto"/>
        </w:rPr>
        <w:t>、询价保证金证明材料格式：</w:t>
      </w:r>
      <w:bookmarkEnd w:id="80"/>
    </w:p>
    <w:p>
      <w:pPr>
        <w:spacing w:line="400" w:lineRule="exact"/>
        <w:ind w:firstLine="435"/>
        <w:rPr>
          <w:rFonts w:ascii="宋体"/>
          <w:color w:val="auto"/>
        </w:rPr>
      </w:pPr>
      <w:r>
        <w:rPr>
          <w:rFonts w:hint="eastAsia" w:ascii="宋体" w:hAnsi="宋体" w:cs="宋体"/>
          <w:color w:val="auto"/>
        </w:rPr>
        <w:t>致：卓知项目管理顾问有限公司</w:t>
      </w:r>
    </w:p>
    <w:p>
      <w:pPr>
        <w:spacing w:line="400" w:lineRule="exact"/>
        <w:ind w:firstLine="420" w:firstLineChars="200"/>
        <w:rPr>
          <w:rFonts w:ascii="宋体"/>
          <w:color w:val="auto"/>
        </w:rPr>
      </w:pPr>
      <w:r>
        <w:rPr>
          <w:rFonts w:hint="eastAsia" w:ascii="宋体" w:hAnsi="宋体" w:cs="宋体"/>
          <w:color w:val="auto"/>
        </w:rPr>
        <w:t>（供应商全称）参加贵招标代理机构组织的采购编号为的询价项目投标活动。按询价通知书规定，已递交人民币元的保证金。</w:t>
      </w:r>
    </w:p>
    <w:p>
      <w:pPr>
        <w:spacing w:line="400" w:lineRule="exact"/>
        <w:ind w:firstLine="435"/>
        <w:rPr>
          <w:rFonts w:ascii="宋体"/>
          <w:color w:val="auto"/>
        </w:rPr>
      </w:pPr>
      <w:r>
        <w:rPr>
          <w:rFonts w:hint="eastAsia" w:ascii="宋体" w:hAnsi="宋体" w:cs="宋体"/>
          <w:color w:val="auto"/>
        </w:rPr>
        <w:t>若未成交，请按询价通知书要求，退还至以下银行（应与汇出行一致）：</w:t>
      </w:r>
    </w:p>
    <w:p>
      <w:pPr>
        <w:spacing w:line="400" w:lineRule="exact"/>
        <w:ind w:firstLine="435"/>
        <w:rPr>
          <w:rFonts w:ascii="宋体"/>
          <w:color w:val="auto"/>
        </w:rPr>
      </w:pPr>
      <w:r>
        <w:rPr>
          <w:rFonts w:hint="eastAsia" w:ascii="宋体" w:hAnsi="宋体" w:cs="宋体"/>
          <w:color w:val="auto"/>
        </w:rPr>
        <w:t>收款单位：</w:t>
      </w:r>
    </w:p>
    <w:p>
      <w:pPr>
        <w:spacing w:line="400" w:lineRule="exact"/>
        <w:ind w:firstLine="435"/>
        <w:rPr>
          <w:rFonts w:ascii="宋体"/>
          <w:color w:val="auto"/>
        </w:rPr>
      </w:pPr>
      <w:r>
        <w:rPr>
          <w:rFonts w:hint="eastAsia" w:ascii="宋体" w:hAnsi="宋体" w:cs="宋体"/>
          <w:color w:val="auto"/>
        </w:rPr>
        <w:t>开户行：</w:t>
      </w:r>
    </w:p>
    <w:p>
      <w:pPr>
        <w:spacing w:line="400" w:lineRule="exact"/>
        <w:ind w:firstLine="435"/>
        <w:rPr>
          <w:rFonts w:ascii="宋体"/>
          <w:color w:val="auto"/>
        </w:rPr>
      </w:pPr>
      <w:r>
        <w:rPr>
          <w:rFonts w:hint="eastAsia" w:ascii="宋体" w:hAnsi="宋体" w:cs="宋体"/>
          <w:color w:val="auto"/>
        </w:rPr>
        <w:t>账号：</w:t>
      </w:r>
    </w:p>
    <w:p>
      <w:pPr>
        <w:spacing w:line="400" w:lineRule="exact"/>
        <w:ind w:firstLine="435"/>
        <w:rPr>
          <w:rFonts w:ascii="宋体"/>
          <w:color w:val="auto"/>
        </w:rPr>
      </w:pPr>
      <w:r>
        <w:rPr>
          <w:rFonts w:hint="eastAsia" w:ascii="宋体" w:hAnsi="宋体" w:cs="宋体"/>
          <w:color w:val="auto"/>
        </w:rPr>
        <w:t>附：询价保证金缴纳证明</w:t>
      </w:r>
    </w:p>
    <w:p>
      <w:pPr>
        <w:spacing w:line="400" w:lineRule="exact"/>
        <w:ind w:firstLine="435"/>
        <w:rPr>
          <w:rFonts w:ascii="宋体"/>
          <w:color w:val="auto"/>
        </w:rPr>
      </w:pPr>
    </w:p>
    <w:tbl>
      <w:tblPr>
        <w:tblStyle w:val="29"/>
        <w:tblW w:w="942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1" w:hRule="atLeast"/>
        </w:trPr>
        <w:tc>
          <w:tcPr>
            <w:tcW w:w="9423" w:type="dxa"/>
          </w:tcPr>
          <w:p>
            <w:pPr>
              <w:rPr>
                <w:rFonts w:ascii="宋体"/>
                <w:color w:val="auto"/>
              </w:rPr>
            </w:pPr>
            <w:r>
              <w:rPr>
                <w:rFonts w:hint="eastAsia" w:ascii="宋体" w:hAnsi="宋体" w:cs="宋体"/>
                <w:color w:val="auto"/>
              </w:rPr>
              <w:t>（银行进账单复印件粘贴处）</w:t>
            </w:r>
          </w:p>
        </w:tc>
      </w:tr>
    </w:tbl>
    <w:p>
      <w:pPr>
        <w:spacing w:line="360" w:lineRule="auto"/>
        <w:ind w:firstLine="723" w:firstLineChars="200"/>
        <w:jc w:val="center"/>
        <w:rPr>
          <w:rFonts w:ascii="宋体"/>
          <w:b/>
          <w:bCs/>
          <w:color w:val="auto"/>
          <w:sz w:val="36"/>
          <w:szCs w:val="36"/>
        </w:rPr>
      </w:pPr>
    </w:p>
    <w:p>
      <w:pPr>
        <w:spacing w:line="360" w:lineRule="auto"/>
        <w:ind w:firstLine="480" w:firstLineChars="200"/>
        <w:rPr>
          <w:rFonts w:ascii="宋体"/>
          <w:color w:val="auto"/>
          <w:sz w:val="24"/>
          <w:szCs w:val="24"/>
        </w:rPr>
      </w:pPr>
    </w:p>
    <w:p>
      <w:pPr>
        <w:spacing w:line="360" w:lineRule="auto"/>
        <w:jc w:val="center"/>
        <w:rPr>
          <w:b/>
          <w:bCs/>
          <w:color w:val="auto"/>
          <w:sz w:val="24"/>
          <w:szCs w:val="24"/>
        </w:rPr>
      </w:pPr>
      <w:bookmarkStart w:id="81" w:name="_Toc14604"/>
      <w:r>
        <w:rPr>
          <w:rFonts w:hint="eastAsia" w:cs="宋体"/>
          <w:b/>
          <w:bCs/>
          <w:color w:val="auto"/>
          <w:sz w:val="24"/>
          <w:szCs w:val="24"/>
        </w:rPr>
        <w:t>有效的法人营业执照复印件或其他法人登记证书复印件；</w:t>
      </w:r>
      <w:bookmarkEnd w:id="81"/>
    </w:p>
    <w:p>
      <w:pPr>
        <w:spacing w:line="360" w:lineRule="auto"/>
        <w:rPr>
          <w:rFonts w:ascii="宋体"/>
          <w:color w:val="auto"/>
          <w:sz w:val="24"/>
          <w:szCs w:val="24"/>
        </w:rPr>
      </w:pPr>
      <w:r>
        <w:rPr>
          <w:rFonts w:hint="eastAsia" w:ascii="宋体" w:hAnsi="宋体" w:cs="宋体"/>
          <w:color w:val="auto"/>
          <w:sz w:val="24"/>
          <w:szCs w:val="24"/>
        </w:rPr>
        <w:t>卓知项目管理顾问有限公司：</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现附上由（签发机关名称）签发的我方法人营业执照副本复印件，该执照已经年检，真实有效。</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供应商（全称并加盖公章）：</w:t>
      </w: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供应商代表签字或盖章：</w:t>
      </w:r>
    </w:p>
    <w:p>
      <w:pPr>
        <w:spacing w:line="360" w:lineRule="auto"/>
        <w:ind w:firstLine="480" w:firstLineChars="200"/>
        <w:rPr>
          <w:rFonts w:ascii="宋体"/>
          <w:color w:val="auto"/>
          <w:sz w:val="24"/>
          <w:szCs w:val="24"/>
        </w:rPr>
      </w:pPr>
      <w:r>
        <w:rPr>
          <w:rFonts w:hint="eastAsia" w:ascii="宋体" w:hAnsi="宋体" w:cs="宋体"/>
          <w:color w:val="auto"/>
          <w:sz w:val="24"/>
          <w:szCs w:val="24"/>
        </w:rPr>
        <w:t>日期：</w:t>
      </w:r>
    </w:p>
    <w:p>
      <w:pPr>
        <w:spacing w:line="360" w:lineRule="auto"/>
        <w:rPr>
          <w:rFonts w:ascii="宋体"/>
          <w:b/>
          <w:bCs/>
          <w:color w:val="auto"/>
          <w:sz w:val="24"/>
          <w:szCs w:val="24"/>
        </w:rPr>
      </w:pPr>
    </w:p>
    <w:p>
      <w:pPr>
        <w:spacing w:line="360" w:lineRule="auto"/>
        <w:jc w:val="center"/>
        <w:rPr>
          <w:rFonts w:cs="宋体"/>
          <w:b/>
          <w:bCs/>
          <w:color w:val="auto"/>
          <w:sz w:val="24"/>
          <w:szCs w:val="24"/>
        </w:rPr>
      </w:pPr>
      <w:bookmarkStart w:id="82" w:name="_Toc1738"/>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pStyle w:val="37"/>
        <w:rPr>
          <w:rFonts w:cs="宋体"/>
          <w:b/>
          <w:bCs/>
          <w:color w:val="auto"/>
          <w:sz w:val="24"/>
          <w:szCs w:val="24"/>
        </w:rPr>
      </w:pPr>
    </w:p>
    <w:p>
      <w:pPr>
        <w:pStyle w:val="37"/>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rFonts w:cs="宋体"/>
          <w:b/>
          <w:bCs/>
          <w:color w:val="auto"/>
          <w:sz w:val="24"/>
          <w:szCs w:val="24"/>
        </w:rPr>
      </w:pPr>
    </w:p>
    <w:p>
      <w:pPr>
        <w:spacing w:line="360" w:lineRule="auto"/>
        <w:jc w:val="center"/>
        <w:rPr>
          <w:b/>
          <w:bCs/>
          <w:color w:val="auto"/>
          <w:sz w:val="24"/>
          <w:szCs w:val="24"/>
        </w:rPr>
      </w:pPr>
      <w:r>
        <w:rPr>
          <w:rFonts w:hint="eastAsia" w:cs="宋体"/>
          <w:b/>
          <w:bCs/>
          <w:color w:val="auto"/>
          <w:sz w:val="24"/>
          <w:szCs w:val="24"/>
        </w:rPr>
        <w:t>法定代表人授权书原件（非法定代表人参加时提供）；</w:t>
      </w:r>
      <w:bookmarkEnd w:id="82"/>
    </w:p>
    <w:p>
      <w:pPr>
        <w:spacing w:line="360" w:lineRule="auto"/>
        <w:rPr>
          <w:rFonts w:ascii="宋体"/>
          <w:color w:val="auto"/>
          <w:sz w:val="24"/>
          <w:szCs w:val="24"/>
        </w:rPr>
      </w:pPr>
      <w:r>
        <w:rPr>
          <w:rFonts w:hint="eastAsia" w:ascii="宋体" w:hAnsi="宋体" w:cs="宋体"/>
          <w:color w:val="auto"/>
          <w:sz w:val="24"/>
          <w:szCs w:val="24"/>
        </w:rPr>
        <w:t>卓知项目管理顾问有限公司：</w:t>
      </w:r>
    </w:p>
    <w:p>
      <w:pPr>
        <w:pStyle w:val="16"/>
        <w:snapToGrid w:val="0"/>
        <w:spacing w:line="360" w:lineRule="auto"/>
        <w:ind w:firstLine="480" w:firstLineChars="200"/>
        <w:jc w:val="left"/>
        <w:rPr>
          <w:rFonts w:hAnsi="宋体" w:cs="Times New Roman"/>
          <w:color w:val="auto"/>
          <w:sz w:val="24"/>
          <w:szCs w:val="24"/>
        </w:rPr>
      </w:pPr>
      <w:r>
        <w:rPr>
          <w:rFonts w:hint="eastAsia" w:hAnsi="宋体"/>
          <w:color w:val="auto"/>
          <w:sz w:val="24"/>
          <w:szCs w:val="24"/>
          <w:u w:val="single"/>
        </w:rPr>
        <w:t>（供应商全称）</w:t>
      </w:r>
      <w:r>
        <w:rPr>
          <w:rFonts w:hint="eastAsia" w:hAnsi="宋体"/>
          <w:color w:val="auto"/>
          <w:sz w:val="24"/>
          <w:szCs w:val="24"/>
        </w:rPr>
        <w:t>法定代表人授权</w:t>
      </w:r>
      <w:r>
        <w:rPr>
          <w:rFonts w:hint="eastAsia" w:hAnsi="宋体"/>
          <w:color w:val="auto"/>
          <w:sz w:val="24"/>
          <w:szCs w:val="24"/>
          <w:u w:val="single"/>
        </w:rPr>
        <w:t>（供应商代表姓名）</w:t>
      </w:r>
      <w:r>
        <w:rPr>
          <w:rFonts w:hint="eastAsia" w:hAnsi="宋体"/>
          <w:color w:val="auto"/>
          <w:sz w:val="24"/>
          <w:szCs w:val="24"/>
        </w:rPr>
        <w:t>为询价供应商代表，代表本公司参加贵司组织的项目</w:t>
      </w:r>
      <w:r>
        <w:rPr>
          <w:rFonts w:hint="eastAsia" w:hAnsi="宋体"/>
          <w:color w:val="auto"/>
          <w:sz w:val="24"/>
          <w:szCs w:val="24"/>
          <w:u w:val="single"/>
        </w:rPr>
        <w:t>（采购编号）</w:t>
      </w:r>
      <w:r>
        <w:rPr>
          <w:rFonts w:hint="eastAsia" w:hAnsi="宋体"/>
          <w:color w:val="auto"/>
          <w:sz w:val="24"/>
          <w:szCs w:val="24"/>
        </w:rPr>
        <w:t>询价活动，全权代表本公司处理询价过程的一切事宜，包括但不限于：递交询价响应文件、参与询价、谈判、签约等。询价供应商代表在询价过程中所签署的一切文件和处理与之有关的一切事务，本公司均予以认可并对此承担责任。询价供应商代表无转委权。特此授权。</w:t>
      </w:r>
    </w:p>
    <w:p>
      <w:pPr>
        <w:pStyle w:val="16"/>
        <w:snapToGrid w:val="0"/>
        <w:spacing w:line="360" w:lineRule="auto"/>
        <w:ind w:firstLine="480" w:firstLineChars="200"/>
        <w:jc w:val="left"/>
        <w:rPr>
          <w:rFonts w:hAnsi="宋体" w:cs="Times New Roman"/>
          <w:color w:val="auto"/>
          <w:sz w:val="24"/>
          <w:szCs w:val="24"/>
        </w:rPr>
      </w:pPr>
      <w:r>
        <w:rPr>
          <w:rFonts w:hint="eastAsia" w:hAnsi="宋体"/>
          <w:color w:val="auto"/>
          <w:sz w:val="24"/>
          <w:szCs w:val="24"/>
        </w:rPr>
        <w:t>本授权书自出具之日起生效。</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询价供应商代表：</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性别：</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身份证号：</w:t>
      </w:r>
    </w:p>
    <w:p>
      <w:pPr>
        <w:spacing w:line="360" w:lineRule="auto"/>
        <w:ind w:firstLine="480" w:firstLineChars="200"/>
        <w:rPr>
          <w:rFonts w:ascii="宋体"/>
          <w:color w:val="auto"/>
          <w:sz w:val="24"/>
          <w:szCs w:val="24"/>
        </w:rPr>
      </w:pPr>
      <w:r>
        <w:rPr>
          <w:rFonts w:hint="eastAsia" w:ascii="宋体" w:hAnsi="宋体" w:cs="宋体"/>
          <w:color w:val="auto"/>
          <w:sz w:val="24"/>
          <w:szCs w:val="24"/>
        </w:rPr>
        <w:t>单位：</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部门：</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职务：</w:t>
      </w:r>
    </w:p>
    <w:p>
      <w:pPr>
        <w:spacing w:line="360" w:lineRule="auto"/>
        <w:ind w:firstLine="480" w:firstLineChars="200"/>
        <w:rPr>
          <w:rFonts w:ascii="宋体"/>
          <w:color w:val="auto"/>
          <w:sz w:val="24"/>
          <w:szCs w:val="24"/>
        </w:rPr>
      </w:pPr>
      <w:r>
        <w:rPr>
          <w:rFonts w:hint="eastAsia" w:ascii="宋体" w:hAnsi="宋体" w:cs="宋体"/>
          <w:color w:val="auto"/>
          <w:sz w:val="24"/>
          <w:szCs w:val="24"/>
        </w:rPr>
        <w:t>详细通讯地址：</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邮政编码</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电话：</w:t>
      </w:r>
    </w:p>
    <w:p>
      <w:pPr>
        <w:spacing w:line="360" w:lineRule="auto"/>
        <w:ind w:firstLine="480" w:firstLineChars="200"/>
        <w:rPr>
          <w:rFonts w:ascii="宋体"/>
          <w:color w:val="auto"/>
          <w:sz w:val="24"/>
          <w:szCs w:val="24"/>
        </w:rPr>
      </w:pP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附：法定代表人、被授权人身份证复印件</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注：询价供应商代表为非法定代表人提供《法定代表人授权书》，询价供应商代表为法定代表人时，只须提供身份证复印件。</w:t>
      </w:r>
    </w:p>
    <w:p>
      <w:pPr>
        <w:spacing w:line="360" w:lineRule="auto"/>
        <w:ind w:firstLine="480" w:firstLineChars="200"/>
        <w:rPr>
          <w:rFonts w:ascii="宋体"/>
          <w:color w:val="auto"/>
          <w:sz w:val="24"/>
          <w:szCs w:val="24"/>
        </w:rPr>
      </w:pPr>
      <w:r>
        <w:rPr>
          <w:rFonts w:hint="eastAsia" w:ascii="宋体" w:hAnsi="宋体" w:cs="宋体"/>
          <w:color w:val="auto"/>
          <w:sz w:val="24"/>
          <w:szCs w:val="24"/>
        </w:rPr>
        <w:t>授权方</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供应商（全称并加盖公章）：</w:t>
      </w:r>
    </w:p>
    <w:p>
      <w:pPr>
        <w:spacing w:line="360" w:lineRule="auto"/>
        <w:ind w:firstLine="480" w:firstLineChars="200"/>
        <w:rPr>
          <w:rFonts w:ascii="宋体"/>
          <w:color w:val="auto"/>
          <w:sz w:val="24"/>
          <w:szCs w:val="24"/>
        </w:rPr>
      </w:pPr>
      <w:r>
        <w:rPr>
          <w:rFonts w:hint="eastAsia" w:ascii="宋体" w:hAnsi="宋体" w:cs="宋体"/>
          <w:color w:val="auto"/>
          <w:sz w:val="24"/>
          <w:szCs w:val="24"/>
        </w:rPr>
        <w:t>法定代表人签字或盖章：</w:t>
      </w:r>
    </w:p>
    <w:p>
      <w:pPr>
        <w:spacing w:line="360" w:lineRule="auto"/>
        <w:ind w:firstLine="480" w:firstLineChars="200"/>
        <w:rPr>
          <w:rFonts w:ascii="宋体"/>
          <w:color w:val="auto"/>
          <w:sz w:val="24"/>
          <w:szCs w:val="24"/>
        </w:rPr>
      </w:pPr>
      <w:r>
        <w:rPr>
          <w:rFonts w:hint="eastAsia" w:ascii="宋体" w:hAnsi="宋体" w:cs="宋体"/>
          <w:color w:val="auto"/>
          <w:sz w:val="24"/>
          <w:szCs w:val="24"/>
        </w:rPr>
        <w:t>日期：</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接受授权方</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供应商代表签字或盖章：</w:t>
      </w:r>
    </w:p>
    <w:p>
      <w:pPr>
        <w:spacing w:line="360" w:lineRule="auto"/>
        <w:ind w:firstLine="480" w:firstLineChars="200"/>
        <w:rPr>
          <w:rFonts w:ascii="宋体"/>
          <w:color w:val="auto"/>
          <w:sz w:val="24"/>
          <w:szCs w:val="24"/>
        </w:rPr>
      </w:pPr>
    </w:p>
    <w:p>
      <w:pPr>
        <w:spacing w:line="360" w:lineRule="auto"/>
        <w:ind w:firstLine="420" w:firstLineChars="200"/>
        <w:rPr>
          <w:rFonts w:ascii="宋体"/>
          <w:color w:val="auto"/>
          <w:sz w:val="24"/>
          <w:szCs w:val="24"/>
        </w:rPr>
      </w:pPr>
      <w:r>
        <w:rPr>
          <w:rFonts w:hint="eastAsia" w:ascii="宋体" w:hAnsi="宋体" w:cs="宋体"/>
          <w:color w:val="auto"/>
        </w:rPr>
        <w:t>日期：</w:t>
      </w:r>
    </w:p>
    <w:p>
      <w:pPr>
        <w:spacing w:line="360" w:lineRule="auto"/>
        <w:ind w:firstLine="482" w:firstLineChars="200"/>
        <w:jc w:val="center"/>
        <w:rPr>
          <w:rFonts w:ascii="宋体"/>
          <w:b/>
          <w:bCs/>
          <w:color w:val="auto"/>
          <w:sz w:val="24"/>
          <w:szCs w:val="24"/>
        </w:rPr>
      </w:pPr>
    </w:p>
    <w:p>
      <w:pPr>
        <w:spacing w:line="360" w:lineRule="auto"/>
        <w:rPr>
          <w:b/>
          <w:bCs/>
          <w:color w:val="auto"/>
          <w:sz w:val="24"/>
          <w:szCs w:val="24"/>
        </w:rPr>
      </w:pPr>
      <w:bookmarkStart w:id="83" w:name="_Toc15407"/>
      <w:r>
        <w:rPr>
          <w:rFonts w:hint="eastAsia" w:cs="宋体"/>
          <w:b/>
          <w:bCs/>
          <w:color w:val="auto"/>
          <w:sz w:val="24"/>
          <w:szCs w:val="24"/>
        </w:rPr>
        <w:t>附：法定代表人、被授权人身份证复印件</w:t>
      </w:r>
      <w:bookmarkEnd w:id="83"/>
    </w:p>
    <w:p>
      <w:pPr>
        <w:spacing w:line="360" w:lineRule="auto"/>
        <w:ind w:firstLine="3373" w:firstLineChars="1400"/>
        <w:rPr>
          <w:rFonts w:cs="宋体"/>
          <w:b/>
          <w:bCs/>
          <w:color w:val="auto"/>
          <w:sz w:val="24"/>
          <w:szCs w:val="24"/>
        </w:rPr>
      </w:pPr>
      <w:bookmarkStart w:id="84" w:name="_Toc19732"/>
    </w:p>
    <w:p>
      <w:pPr>
        <w:spacing w:line="360" w:lineRule="auto"/>
        <w:ind w:firstLine="3373" w:firstLineChars="1400"/>
        <w:rPr>
          <w:b/>
          <w:bCs/>
          <w:color w:val="auto"/>
          <w:sz w:val="24"/>
          <w:szCs w:val="24"/>
        </w:rPr>
      </w:pPr>
      <w:r>
        <w:rPr>
          <w:rFonts w:hint="eastAsia" w:cs="宋体"/>
          <w:b/>
          <w:bCs/>
          <w:color w:val="auto"/>
          <w:sz w:val="24"/>
          <w:szCs w:val="24"/>
        </w:rPr>
        <w:t>信用记录查询结果</w:t>
      </w:r>
      <w:bookmarkEnd w:id="84"/>
    </w:p>
    <w:p>
      <w:pPr>
        <w:spacing w:line="360" w:lineRule="auto"/>
        <w:ind w:firstLine="480" w:firstLineChars="200"/>
        <w:rPr>
          <w:rFonts w:ascii="宋体"/>
          <w:color w:val="auto"/>
          <w:sz w:val="24"/>
          <w:szCs w:val="24"/>
          <w:u w:val="single"/>
        </w:rPr>
      </w:pPr>
    </w:p>
    <w:p>
      <w:pPr>
        <w:pStyle w:val="25"/>
        <w:spacing w:before="75" w:beforeAutospacing="0" w:after="75" w:afterAutospacing="0" w:line="435" w:lineRule="atLeast"/>
        <w:rPr>
          <w:rFonts w:cs="Times New Roman"/>
          <w:color w:val="auto"/>
          <w:sz w:val="27"/>
          <w:szCs w:val="27"/>
        </w:rPr>
      </w:pPr>
      <w:r>
        <w:rPr>
          <w:rFonts w:hint="eastAsia"/>
          <w:color w:val="auto"/>
        </w:rPr>
        <w:t>致：</w:t>
      </w:r>
      <w:r>
        <w:rPr>
          <w:color w:val="auto"/>
        </w:rPr>
        <w:t>(</w:t>
      </w:r>
      <w:r>
        <w:rPr>
          <w:rFonts w:hint="eastAsia"/>
          <w:color w:val="auto"/>
        </w:rPr>
        <w:t>采购人或采购代理机构</w:t>
      </w:r>
      <w:r>
        <w:rPr>
          <w:color w:val="auto"/>
        </w:rPr>
        <w:t>)     </w:t>
      </w:r>
    </w:p>
    <w:p>
      <w:pPr>
        <w:pStyle w:val="25"/>
        <w:spacing w:before="75" w:beforeAutospacing="0" w:after="75" w:afterAutospacing="0" w:line="435" w:lineRule="atLeast"/>
        <w:ind w:firstLine="480"/>
        <w:rPr>
          <w:rFonts w:cs="Times New Roman"/>
          <w:color w:val="auto"/>
          <w:sz w:val="27"/>
          <w:szCs w:val="27"/>
        </w:rPr>
      </w:pPr>
      <w:r>
        <w:rPr>
          <w:rFonts w:hint="eastAsia"/>
          <w:color w:val="auto"/>
        </w:rPr>
        <w:t>现附上截至</w:t>
      </w:r>
      <w:r>
        <w:rPr>
          <w:rFonts w:cs="Times New Roman"/>
          <w:color w:val="auto"/>
        </w:rPr>
        <w:t>   </w:t>
      </w:r>
      <w:r>
        <w:rPr>
          <w:rFonts w:hint="eastAsia"/>
          <w:color w:val="auto"/>
        </w:rPr>
        <w:t>年</w:t>
      </w:r>
      <w:r>
        <w:rPr>
          <w:rFonts w:cs="Times New Roman"/>
          <w:color w:val="auto"/>
        </w:rPr>
        <w:t>   </w:t>
      </w:r>
      <w:r>
        <w:rPr>
          <w:rFonts w:hint="eastAsia"/>
          <w:color w:val="auto"/>
        </w:rPr>
        <w:t>月</w:t>
      </w:r>
      <w:r>
        <w:rPr>
          <w:rFonts w:cs="Times New Roman"/>
          <w:color w:val="auto"/>
        </w:rPr>
        <w:t>   </w:t>
      </w:r>
      <w:r>
        <w:rPr>
          <w:rFonts w:hint="eastAsia"/>
          <w:color w:val="auto"/>
        </w:rPr>
        <w:t>日</w:t>
      </w:r>
      <w:r>
        <w:rPr>
          <w:rFonts w:cs="Times New Roman"/>
          <w:color w:val="auto"/>
        </w:rPr>
        <w:t>   </w:t>
      </w:r>
      <w:r>
        <w:rPr>
          <w:rFonts w:hint="eastAsia"/>
          <w:color w:val="auto"/>
        </w:rPr>
        <w:t>时我方通过“信用中国”网站（</w:t>
      </w:r>
      <w:r>
        <w:rPr>
          <w:color w:val="auto"/>
        </w:rPr>
        <w:t>www.creditchina.gov.cn</w:t>
      </w:r>
      <w:r>
        <w:rPr>
          <w:rFonts w:hint="eastAsia"/>
          <w:color w:val="auto"/>
        </w:rPr>
        <w:t>）获取的我方信用信息查询结果（填写具体份数）份，上述信用信息查询结果真实有效，否则我方负全部责任。</w:t>
      </w:r>
    </w:p>
    <w:p>
      <w:pPr>
        <w:spacing w:line="360" w:lineRule="auto"/>
        <w:jc w:val="center"/>
        <w:rPr>
          <w:rFonts w:ascii="宋体"/>
          <w:color w:val="auto"/>
          <w:sz w:val="72"/>
          <w:szCs w:val="72"/>
        </w:rPr>
      </w:pPr>
    </w:p>
    <w:p>
      <w:pPr>
        <w:spacing w:line="360" w:lineRule="auto"/>
        <w:jc w:val="center"/>
        <w:rPr>
          <w:rFonts w:ascii="宋体"/>
          <w:color w:val="auto"/>
          <w:sz w:val="72"/>
          <w:szCs w:val="72"/>
        </w:rPr>
      </w:pP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供应商名称（加盖公章）：</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供应商代表签字或盖章：</w:t>
      </w:r>
    </w:p>
    <w:p>
      <w:pPr>
        <w:pStyle w:val="25"/>
        <w:spacing w:before="75" w:beforeAutospacing="0" w:after="75" w:afterAutospacing="0" w:line="435" w:lineRule="atLeast"/>
        <w:ind w:firstLine="480" w:firstLineChars="200"/>
        <w:rPr>
          <w:rFonts w:cs="Times New Roman"/>
          <w:color w:val="auto"/>
          <w:sz w:val="27"/>
          <w:szCs w:val="27"/>
        </w:rPr>
      </w:pPr>
      <w:r>
        <w:rPr>
          <w:rFonts w:hint="eastAsia"/>
          <w:color w:val="auto"/>
        </w:rPr>
        <w:t>日期：</w:t>
      </w:r>
    </w:p>
    <w:p>
      <w:pPr>
        <w:rPr>
          <w:rFonts w:ascii="宋体"/>
          <w:color w:val="auto"/>
        </w:rPr>
      </w:pPr>
    </w:p>
    <w:p>
      <w:pPr>
        <w:rPr>
          <w:rFonts w:ascii="宋体"/>
          <w:color w:val="auto"/>
        </w:rPr>
      </w:pPr>
    </w:p>
    <w:p>
      <w:pPr>
        <w:spacing w:line="360" w:lineRule="auto"/>
        <w:ind w:firstLine="723" w:firstLineChars="200"/>
        <w:jc w:val="center"/>
        <w:rPr>
          <w:rFonts w:ascii="宋体"/>
          <w:b/>
          <w:bCs/>
          <w:color w:val="auto"/>
          <w:sz w:val="36"/>
          <w:szCs w:val="36"/>
        </w:rPr>
      </w:pPr>
    </w:p>
    <w:p>
      <w:pPr>
        <w:spacing w:line="360" w:lineRule="auto"/>
        <w:ind w:firstLine="480" w:firstLineChars="200"/>
        <w:rPr>
          <w:rFonts w:ascii="宋体"/>
          <w:color w:val="auto"/>
          <w:sz w:val="24"/>
          <w:szCs w:val="24"/>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rPr>
          <w:rFonts w:ascii="宋体"/>
          <w:b/>
          <w:bCs/>
          <w:color w:val="auto"/>
          <w:sz w:val="36"/>
          <w:szCs w:val="36"/>
        </w:rPr>
      </w:pPr>
    </w:p>
    <w:p>
      <w:pPr>
        <w:pStyle w:val="28"/>
        <w:ind w:firstLine="200"/>
        <w:rPr>
          <w:color w:val="auto"/>
        </w:rPr>
      </w:pPr>
    </w:p>
    <w:p>
      <w:pPr>
        <w:pStyle w:val="91"/>
        <w:jc w:val="center"/>
        <w:rPr>
          <w:b/>
          <w:bCs/>
          <w:color w:val="auto"/>
          <w:sz w:val="24"/>
          <w:szCs w:val="24"/>
        </w:rPr>
      </w:pPr>
      <w:bookmarkStart w:id="85" w:name="_Toc8280"/>
      <w:bookmarkStart w:id="86" w:name="_Toc24620"/>
      <w:bookmarkStart w:id="87" w:name="_Toc11481"/>
      <w:r>
        <w:rPr>
          <w:rFonts w:hint="eastAsia"/>
          <w:b/>
          <w:bCs/>
          <w:color w:val="auto"/>
          <w:sz w:val="24"/>
          <w:szCs w:val="24"/>
        </w:rPr>
        <w:t>技术和服务要求响应表</w:t>
      </w:r>
      <w:bookmarkEnd w:id="85"/>
      <w:bookmarkEnd w:id="86"/>
      <w:bookmarkEnd w:id="87"/>
    </w:p>
    <w:p>
      <w:pPr>
        <w:pStyle w:val="91"/>
        <w:jc w:val="center"/>
        <w:rPr>
          <w:b/>
          <w:bCs/>
          <w:color w:val="auto"/>
          <w:sz w:val="24"/>
          <w:szCs w:val="24"/>
        </w:rPr>
      </w:pPr>
    </w:p>
    <w:p>
      <w:pPr>
        <w:spacing w:line="380" w:lineRule="exact"/>
        <w:rPr>
          <w:rFonts w:ascii="宋体"/>
          <w:color w:val="auto"/>
          <w:sz w:val="24"/>
          <w:szCs w:val="24"/>
        </w:rPr>
      </w:pPr>
      <w:r>
        <w:rPr>
          <w:rFonts w:hint="eastAsia" w:ascii="宋体" w:hAnsi="宋体" w:cs="宋体"/>
          <w:color w:val="auto"/>
          <w:sz w:val="24"/>
          <w:szCs w:val="24"/>
        </w:rPr>
        <w:t>供应商名称（全称并加盖公章）：采购编号∶</w:t>
      </w:r>
      <w:r>
        <w:rPr>
          <w:rFonts w:ascii="宋体"/>
          <w:color w:val="auto"/>
          <w:sz w:val="24"/>
          <w:szCs w:val="24"/>
        </w:rPr>
        <w:tab/>
      </w:r>
    </w:p>
    <w:p>
      <w:pPr>
        <w:spacing w:line="380" w:lineRule="exact"/>
        <w:rPr>
          <w:rFonts w:ascii="宋体"/>
          <w:color w:val="auto"/>
          <w:sz w:val="24"/>
          <w:szCs w:val="24"/>
        </w:rPr>
      </w:pPr>
      <w:r>
        <w:rPr>
          <w:rFonts w:hint="eastAsia" w:ascii="宋体" w:hAnsi="宋体" w:cs="宋体"/>
          <w:b/>
          <w:bCs/>
          <w:color w:val="auto"/>
          <w:sz w:val="24"/>
          <w:szCs w:val="24"/>
        </w:rPr>
        <w:t>合同包号</w:t>
      </w:r>
      <w:r>
        <w:rPr>
          <w:rFonts w:hint="eastAsia" w:ascii="宋体" w:hAnsi="宋体" w:cs="宋体"/>
          <w:color w:val="auto"/>
          <w:sz w:val="24"/>
          <w:szCs w:val="24"/>
        </w:rPr>
        <w:t>：</w:t>
      </w:r>
    </w:p>
    <w:p>
      <w:pPr>
        <w:spacing w:line="380" w:lineRule="exact"/>
        <w:rPr>
          <w:rFonts w:ascii="宋体"/>
          <w:color w:val="auto"/>
          <w:sz w:val="24"/>
          <w:szCs w:val="24"/>
        </w:rPr>
      </w:pPr>
    </w:p>
    <w:tbl>
      <w:tblPr>
        <w:tblStyle w:val="29"/>
        <w:tblW w:w="8414"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2"/>
        <w:gridCol w:w="4986"/>
        <w:gridCol w:w="1315"/>
        <w:gridCol w:w="949"/>
        <w:gridCol w:w="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2" w:type="dxa"/>
            <w:tcBorders>
              <w:top w:val="single" w:color="auto" w:sz="4" w:space="0"/>
              <w:bottom w:val="single" w:color="auto" w:sz="4" w:space="0"/>
              <w:right w:val="single" w:color="auto" w:sz="4" w:space="0"/>
            </w:tcBorders>
            <w:vAlign w:val="center"/>
          </w:tcPr>
          <w:p>
            <w:pPr>
              <w:rPr>
                <w:color w:val="auto"/>
                <w:sz w:val="24"/>
                <w:szCs w:val="24"/>
              </w:rPr>
            </w:pPr>
            <w:r>
              <w:rPr>
                <w:rFonts w:hint="eastAsia" w:cs="宋体"/>
                <w:color w:val="auto"/>
                <w:sz w:val="24"/>
                <w:szCs w:val="24"/>
              </w:rPr>
              <w:t>序号</w:t>
            </w:r>
          </w:p>
        </w:tc>
        <w:tc>
          <w:tcPr>
            <w:tcW w:w="4986" w:type="dxa"/>
            <w:tcBorders>
              <w:top w:val="single" w:color="auto" w:sz="4" w:space="0"/>
              <w:left w:val="single" w:color="auto" w:sz="4" w:space="0"/>
              <w:bottom w:val="single" w:color="auto" w:sz="4" w:space="0"/>
              <w:right w:val="single" w:color="auto" w:sz="4" w:space="0"/>
            </w:tcBorders>
            <w:vAlign w:val="center"/>
          </w:tcPr>
          <w:p>
            <w:pPr>
              <w:rPr>
                <w:rFonts w:cs="宋体"/>
                <w:color w:val="auto"/>
                <w:sz w:val="24"/>
                <w:szCs w:val="24"/>
              </w:rPr>
            </w:pPr>
            <w:r>
              <w:rPr>
                <w:rFonts w:hint="eastAsia" w:cs="宋体"/>
                <w:color w:val="auto"/>
                <w:sz w:val="24"/>
                <w:szCs w:val="24"/>
              </w:rPr>
              <w:t>询价通知书第三章《询价内容及要求》</w:t>
            </w:r>
          </w:p>
          <w:p>
            <w:pPr>
              <w:rPr>
                <w:color w:val="auto"/>
                <w:sz w:val="24"/>
                <w:szCs w:val="24"/>
              </w:rPr>
            </w:pPr>
            <w:r>
              <w:rPr>
                <w:rFonts w:hint="eastAsia" w:ascii="宋体" w:hAnsi="宋体" w:cs="宋体"/>
                <w:b/>
                <w:bCs/>
                <w:color w:val="auto"/>
                <w:sz w:val="24"/>
                <w:szCs w:val="24"/>
              </w:rPr>
              <w:t>二、技术参数及要求</w:t>
            </w:r>
          </w:p>
        </w:tc>
        <w:tc>
          <w:tcPr>
            <w:tcW w:w="1315" w:type="dxa"/>
            <w:tcBorders>
              <w:top w:val="single" w:color="auto" w:sz="4" w:space="0"/>
              <w:left w:val="single" w:color="auto" w:sz="4" w:space="0"/>
              <w:bottom w:val="single" w:color="auto" w:sz="4" w:space="0"/>
              <w:right w:val="single" w:color="auto" w:sz="4" w:space="0"/>
            </w:tcBorders>
            <w:vAlign w:val="center"/>
          </w:tcPr>
          <w:p>
            <w:pPr>
              <w:rPr>
                <w:color w:val="auto"/>
                <w:sz w:val="24"/>
                <w:szCs w:val="24"/>
              </w:rPr>
            </w:pPr>
            <w:r>
              <w:rPr>
                <w:rFonts w:hint="eastAsia" w:cs="宋体"/>
                <w:color w:val="auto"/>
                <w:sz w:val="24"/>
                <w:szCs w:val="24"/>
              </w:rPr>
              <w:t>投标响应情况</w:t>
            </w:r>
          </w:p>
        </w:tc>
        <w:tc>
          <w:tcPr>
            <w:tcW w:w="949" w:type="dxa"/>
            <w:tcBorders>
              <w:top w:val="single" w:color="auto" w:sz="4" w:space="0"/>
              <w:left w:val="single" w:color="auto" w:sz="4" w:space="0"/>
              <w:bottom w:val="single" w:color="auto" w:sz="4" w:space="0"/>
              <w:right w:val="single" w:color="auto" w:sz="4" w:space="0"/>
            </w:tcBorders>
            <w:vAlign w:val="center"/>
          </w:tcPr>
          <w:p>
            <w:pPr>
              <w:rPr>
                <w:color w:val="auto"/>
                <w:sz w:val="24"/>
                <w:szCs w:val="24"/>
              </w:rPr>
            </w:pPr>
            <w:r>
              <w:rPr>
                <w:rFonts w:hint="eastAsia" w:cs="宋体"/>
                <w:color w:val="auto"/>
                <w:sz w:val="24"/>
                <w:szCs w:val="24"/>
              </w:rPr>
              <w:t>偏离说明</w:t>
            </w:r>
          </w:p>
        </w:tc>
        <w:tc>
          <w:tcPr>
            <w:tcW w:w="582" w:type="dxa"/>
            <w:tcBorders>
              <w:top w:val="single" w:color="auto" w:sz="4" w:space="0"/>
              <w:left w:val="single" w:color="auto" w:sz="4" w:space="0"/>
              <w:bottom w:val="single" w:color="auto" w:sz="4" w:space="0"/>
            </w:tcBorders>
            <w:vAlign w:val="center"/>
          </w:tcPr>
          <w:p>
            <w:pPr>
              <w:spacing w:line="280" w:lineRule="exact"/>
              <w:rPr>
                <w:color w:val="auto"/>
                <w:sz w:val="24"/>
                <w:szCs w:val="24"/>
              </w:rPr>
            </w:pPr>
            <w:r>
              <w:rPr>
                <w:rFonts w:hint="eastAsia"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582" w:type="dxa"/>
            <w:tcBorders>
              <w:top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498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color w:val="auto"/>
                <w:sz w:val="24"/>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949"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582" w:type="dxa"/>
            <w:tcBorders>
              <w:top w:val="single" w:color="auto" w:sz="4" w:space="0"/>
              <w:left w:val="single" w:color="auto" w:sz="4" w:space="0"/>
              <w:bottom w:val="single" w:color="auto" w:sz="4" w:space="0"/>
            </w:tcBorders>
            <w:vAlign w:val="center"/>
          </w:tcPr>
          <w:p>
            <w:pPr>
              <w:spacing w:line="280" w:lineRule="exact"/>
              <w:ind w:firstLine="560" w:firstLineChars="20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2" w:type="dxa"/>
            <w:tcBorders>
              <w:top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498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color w:val="auto"/>
                <w:sz w:val="24"/>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949"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582" w:type="dxa"/>
            <w:tcBorders>
              <w:top w:val="single" w:color="auto" w:sz="4" w:space="0"/>
              <w:left w:val="single" w:color="auto" w:sz="4" w:space="0"/>
              <w:bottom w:val="single" w:color="auto" w:sz="4" w:space="0"/>
            </w:tcBorders>
            <w:vAlign w:val="center"/>
          </w:tcPr>
          <w:p>
            <w:pPr>
              <w:spacing w:line="280" w:lineRule="exact"/>
              <w:ind w:firstLine="560" w:firstLineChars="20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2" w:type="dxa"/>
            <w:tcBorders>
              <w:top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498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color w:val="auto"/>
                <w:sz w:val="24"/>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949"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582" w:type="dxa"/>
            <w:tcBorders>
              <w:top w:val="single" w:color="auto" w:sz="4" w:space="0"/>
              <w:left w:val="single" w:color="auto" w:sz="4" w:space="0"/>
              <w:bottom w:val="single" w:color="auto" w:sz="4" w:space="0"/>
            </w:tcBorders>
            <w:vAlign w:val="center"/>
          </w:tcPr>
          <w:p>
            <w:pPr>
              <w:spacing w:line="280" w:lineRule="exact"/>
              <w:ind w:firstLine="560" w:firstLineChars="20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2" w:type="dxa"/>
            <w:tcBorders>
              <w:top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498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color w:val="auto"/>
                <w:sz w:val="24"/>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949"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582" w:type="dxa"/>
            <w:tcBorders>
              <w:top w:val="single" w:color="auto" w:sz="4" w:space="0"/>
              <w:left w:val="single" w:color="auto" w:sz="4" w:space="0"/>
              <w:bottom w:val="single" w:color="auto" w:sz="4" w:space="0"/>
            </w:tcBorders>
            <w:vAlign w:val="center"/>
          </w:tcPr>
          <w:p>
            <w:pPr>
              <w:spacing w:line="280" w:lineRule="exact"/>
              <w:ind w:firstLine="560" w:firstLineChars="20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2" w:type="dxa"/>
            <w:tcBorders>
              <w:top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498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color w:val="auto"/>
                <w:sz w:val="24"/>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949"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582" w:type="dxa"/>
            <w:tcBorders>
              <w:top w:val="single" w:color="auto" w:sz="4" w:space="0"/>
              <w:left w:val="single" w:color="auto" w:sz="4" w:space="0"/>
              <w:bottom w:val="single" w:color="auto" w:sz="4" w:space="0"/>
            </w:tcBorders>
            <w:vAlign w:val="center"/>
          </w:tcPr>
          <w:p>
            <w:pPr>
              <w:spacing w:line="280" w:lineRule="exact"/>
              <w:ind w:firstLine="560" w:firstLineChars="20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2" w:type="dxa"/>
            <w:tcBorders>
              <w:top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498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color w:val="auto"/>
                <w:sz w:val="24"/>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949"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color w:val="auto"/>
                <w:sz w:val="28"/>
                <w:szCs w:val="28"/>
              </w:rPr>
            </w:pPr>
          </w:p>
        </w:tc>
        <w:tc>
          <w:tcPr>
            <w:tcW w:w="582" w:type="dxa"/>
            <w:tcBorders>
              <w:top w:val="single" w:color="auto" w:sz="4" w:space="0"/>
              <w:left w:val="single" w:color="auto" w:sz="4" w:space="0"/>
              <w:bottom w:val="single" w:color="auto" w:sz="4" w:space="0"/>
            </w:tcBorders>
            <w:vAlign w:val="center"/>
          </w:tcPr>
          <w:p>
            <w:pPr>
              <w:spacing w:line="280" w:lineRule="exact"/>
              <w:ind w:firstLine="560" w:firstLineChars="200"/>
              <w:jc w:val="center"/>
              <w:rPr>
                <w:color w:val="auto"/>
                <w:sz w:val="28"/>
                <w:szCs w:val="28"/>
              </w:rPr>
            </w:pPr>
          </w:p>
        </w:tc>
      </w:tr>
    </w:tbl>
    <w:p>
      <w:pPr>
        <w:spacing w:line="380" w:lineRule="exact"/>
        <w:rPr>
          <w:rFonts w:ascii="宋体"/>
          <w:color w:val="auto"/>
          <w:sz w:val="28"/>
          <w:szCs w:val="28"/>
        </w:rPr>
      </w:pPr>
    </w:p>
    <w:p>
      <w:pPr>
        <w:spacing w:line="360" w:lineRule="auto"/>
        <w:ind w:right="561" w:firstLine="482" w:firstLineChars="200"/>
        <w:rPr>
          <w:rFonts w:ascii="宋体"/>
          <w:b/>
          <w:bCs/>
          <w:color w:val="auto"/>
          <w:sz w:val="24"/>
          <w:szCs w:val="24"/>
        </w:rPr>
      </w:pPr>
      <w:r>
        <w:rPr>
          <w:rFonts w:hint="eastAsia" w:ascii="宋体" w:hAnsi="宋体" w:cs="宋体"/>
          <w:b/>
          <w:bCs/>
          <w:color w:val="auto"/>
          <w:sz w:val="24"/>
          <w:szCs w:val="24"/>
        </w:rPr>
        <w:t>填表说明：</w:t>
      </w:r>
    </w:p>
    <w:p>
      <w:pPr>
        <w:spacing w:line="360" w:lineRule="auto"/>
        <w:ind w:right="561" w:firstLine="482"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w:t>
      </w:r>
      <w:r>
        <w:rPr>
          <w:rFonts w:hint="eastAsia" w:cs="宋体"/>
          <w:color w:val="auto"/>
          <w:sz w:val="24"/>
          <w:szCs w:val="24"/>
        </w:rPr>
        <w:t>投标响应情况</w:t>
      </w:r>
      <w:r>
        <w:rPr>
          <w:rFonts w:hint="eastAsia" w:ascii="宋体" w:hAnsi="宋体" w:cs="宋体"/>
          <w:b/>
          <w:bCs/>
          <w:color w:val="auto"/>
          <w:sz w:val="24"/>
          <w:szCs w:val="24"/>
        </w:rPr>
        <w:t>”应根据投标项目实际情况如实详细填写</w:t>
      </w:r>
      <w:r>
        <w:rPr>
          <w:rFonts w:ascii="宋体" w:cs="宋体"/>
          <w:b/>
          <w:bCs/>
          <w:color w:val="auto"/>
          <w:sz w:val="24"/>
          <w:szCs w:val="24"/>
        </w:rPr>
        <w:t>,</w:t>
      </w:r>
      <w:r>
        <w:rPr>
          <w:rFonts w:hint="eastAsia" w:ascii="宋体" w:hAnsi="宋体" w:cs="宋体"/>
          <w:b/>
          <w:bCs/>
          <w:color w:val="auto"/>
          <w:sz w:val="24"/>
          <w:szCs w:val="24"/>
        </w:rPr>
        <w:t>不得仅以“完全响应”等字眼简单表达；</w:t>
      </w:r>
    </w:p>
    <w:p>
      <w:pPr>
        <w:spacing w:line="360" w:lineRule="auto"/>
        <w:ind w:right="561" w:firstLine="482" w:firstLineChars="200"/>
        <w:outlineLvl w:val="1"/>
        <w:rPr>
          <w:rFonts w:ascii="宋体"/>
          <w:b/>
          <w:bCs/>
          <w:color w:val="auto"/>
          <w:sz w:val="24"/>
          <w:szCs w:val="24"/>
        </w:rPr>
      </w:pPr>
      <w:bookmarkStart w:id="88" w:name="_Toc26967"/>
      <w:r>
        <w:rPr>
          <w:rFonts w:ascii="宋体" w:hAnsi="宋体" w:cs="宋体"/>
          <w:b/>
          <w:bCs/>
          <w:color w:val="auto"/>
          <w:sz w:val="24"/>
          <w:szCs w:val="24"/>
        </w:rPr>
        <w:t>2</w:t>
      </w:r>
      <w:r>
        <w:rPr>
          <w:rFonts w:hint="eastAsia" w:ascii="宋体" w:hAnsi="宋体" w:cs="宋体"/>
          <w:b/>
          <w:bCs/>
          <w:color w:val="auto"/>
          <w:sz w:val="24"/>
          <w:szCs w:val="24"/>
        </w:rPr>
        <w:t>、响应情况填写说明：</w:t>
      </w:r>
      <w:bookmarkEnd w:id="88"/>
    </w:p>
    <w:p>
      <w:pPr>
        <w:spacing w:line="360" w:lineRule="auto"/>
        <w:ind w:right="561" w:firstLine="482" w:firstLineChars="200"/>
        <w:rPr>
          <w:rFonts w:ascii="宋体"/>
          <w:b/>
          <w:bCs/>
          <w:color w:val="auto"/>
          <w:sz w:val="24"/>
          <w:szCs w:val="24"/>
        </w:rPr>
      </w:pPr>
      <w:r>
        <w:rPr>
          <w:rFonts w:hint="eastAsia" w:ascii="宋体" w:hAnsi="宋体" w:cs="宋体"/>
          <w:b/>
          <w:bCs/>
          <w:color w:val="auto"/>
          <w:sz w:val="24"/>
          <w:szCs w:val="24"/>
        </w:rPr>
        <w:t>“</w:t>
      </w:r>
      <w:r>
        <w:rPr>
          <w:rFonts w:hint="eastAsia" w:cs="宋体"/>
          <w:color w:val="auto"/>
          <w:sz w:val="24"/>
          <w:szCs w:val="24"/>
        </w:rPr>
        <w:t>投标响应情况</w:t>
      </w:r>
      <w:r>
        <w:rPr>
          <w:rFonts w:hint="eastAsia" w:cs="宋体"/>
          <w:b/>
          <w:bCs/>
          <w:color w:val="auto"/>
          <w:sz w:val="24"/>
          <w:szCs w:val="24"/>
        </w:rPr>
        <w:t>”与</w:t>
      </w:r>
      <w:r>
        <w:rPr>
          <w:rFonts w:hint="eastAsia" w:ascii="宋体" w:hAnsi="宋体" w:cs="宋体"/>
          <w:b/>
          <w:bCs/>
          <w:color w:val="auto"/>
          <w:sz w:val="24"/>
          <w:szCs w:val="24"/>
        </w:rPr>
        <w:t>询价通知书（</w:t>
      </w:r>
      <w:r>
        <w:rPr>
          <w:rFonts w:hint="eastAsia" w:cs="宋体"/>
          <w:color w:val="auto"/>
          <w:sz w:val="24"/>
          <w:szCs w:val="24"/>
        </w:rPr>
        <w:t>第三章《询价内容及要求》</w:t>
      </w:r>
      <w:r>
        <w:rPr>
          <w:rFonts w:hint="eastAsia" w:ascii="宋体" w:hAnsi="宋体" w:cs="宋体"/>
          <w:b/>
          <w:bCs/>
          <w:color w:val="auto"/>
          <w:sz w:val="24"/>
          <w:szCs w:val="24"/>
        </w:rPr>
        <w:t>二、技术参数及要求点对点对比：</w:t>
      </w:r>
    </w:p>
    <w:p>
      <w:pPr>
        <w:spacing w:line="360" w:lineRule="auto"/>
        <w:ind w:right="561" w:firstLine="482" w:firstLineChars="200"/>
        <w:rPr>
          <w:rFonts w:ascii="宋体"/>
          <w:b/>
          <w:bCs/>
          <w:color w:val="auto"/>
          <w:sz w:val="24"/>
          <w:szCs w:val="24"/>
        </w:rPr>
      </w:pPr>
      <w:r>
        <w:rPr>
          <w:rFonts w:hint="eastAsia" w:ascii="宋体" w:hAnsi="宋体" w:cs="宋体"/>
          <w:b/>
          <w:bCs/>
          <w:color w:val="auto"/>
          <w:sz w:val="24"/>
          <w:szCs w:val="24"/>
        </w:rPr>
        <w:t>（</w:t>
      </w:r>
      <w:r>
        <w:rPr>
          <w:rFonts w:ascii="宋体" w:hAnsi="宋体" w:cs="宋体"/>
          <w:b/>
          <w:bCs/>
          <w:color w:val="auto"/>
          <w:sz w:val="24"/>
          <w:szCs w:val="24"/>
        </w:rPr>
        <w:t>1</w:t>
      </w:r>
      <w:r>
        <w:rPr>
          <w:rFonts w:hint="eastAsia" w:ascii="宋体" w:hAnsi="宋体" w:cs="宋体"/>
          <w:b/>
          <w:bCs/>
          <w:color w:val="auto"/>
          <w:sz w:val="24"/>
          <w:szCs w:val="24"/>
        </w:rPr>
        <w:t>）与询价通知书完全一致，在偏离说明一栏中填写“无偏离”；</w:t>
      </w:r>
    </w:p>
    <w:p>
      <w:pPr>
        <w:spacing w:line="360" w:lineRule="auto"/>
        <w:ind w:right="561" w:firstLine="482" w:firstLineChars="200"/>
        <w:rPr>
          <w:rFonts w:ascii="宋体"/>
          <w:b/>
          <w:bCs/>
          <w:color w:val="auto"/>
          <w:sz w:val="24"/>
          <w:szCs w:val="24"/>
        </w:rPr>
      </w:pPr>
      <w:r>
        <w:rPr>
          <w:rFonts w:hint="eastAsia" w:ascii="宋体" w:hAnsi="宋体" w:cs="宋体"/>
          <w:b/>
          <w:bCs/>
          <w:color w:val="auto"/>
          <w:sz w:val="24"/>
          <w:szCs w:val="24"/>
        </w:rPr>
        <w:t>（</w:t>
      </w:r>
      <w:r>
        <w:rPr>
          <w:rFonts w:ascii="宋体" w:hAnsi="宋体" w:cs="宋体"/>
          <w:b/>
          <w:bCs/>
          <w:color w:val="auto"/>
          <w:sz w:val="24"/>
          <w:szCs w:val="24"/>
        </w:rPr>
        <w:t>2</w:t>
      </w:r>
      <w:r>
        <w:rPr>
          <w:rFonts w:hint="eastAsia" w:ascii="宋体" w:hAnsi="宋体" w:cs="宋体"/>
          <w:b/>
          <w:bCs/>
          <w:color w:val="auto"/>
          <w:sz w:val="24"/>
          <w:szCs w:val="24"/>
        </w:rPr>
        <w:t>）高于询价通知书要求，在偏离说明一栏中填写“正偏离”，并在“备注”一栏中详细阐述理由；</w:t>
      </w:r>
    </w:p>
    <w:p>
      <w:pPr>
        <w:spacing w:line="380" w:lineRule="exact"/>
        <w:ind w:firstLine="482" w:firstLineChars="200"/>
        <w:rPr>
          <w:rFonts w:ascii="宋体"/>
          <w:color w:val="auto"/>
          <w:sz w:val="24"/>
          <w:szCs w:val="24"/>
        </w:rPr>
      </w:pPr>
      <w:r>
        <w:rPr>
          <w:rFonts w:hint="eastAsia" w:ascii="宋体" w:hAnsi="宋体" w:cs="宋体"/>
          <w:b/>
          <w:bCs/>
          <w:color w:val="auto"/>
          <w:sz w:val="24"/>
          <w:szCs w:val="24"/>
        </w:rPr>
        <w:t>（</w:t>
      </w:r>
      <w:r>
        <w:rPr>
          <w:rFonts w:ascii="宋体" w:hAnsi="宋体" w:cs="宋体"/>
          <w:b/>
          <w:bCs/>
          <w:color w:val="auto"/>
          <w:sz w:val="24"/>
          <w:szCs w:val="24"/>
        </w:rPr>
        <w:t>3</w:t>
      </w:r>
      <w:r>
        <w:rPr>
          <w:rFonts w:hint="eastAsia" w:ascii="宋体" w:hAnsi="宋体" w:cs="宋体"/>
          <w:b/>
          <w:bCs/>
          <w:color w:val="auto"/>
          <w:sz w:val="24"/>
          <w:szCs w:val="24"/>
        </w:rPr>
        <w:t>）达不到询价通知书要求，在偏离说明一栏中填写“负偏离”，并在“备注”一栏中详细阐述理由。</w:t>
      </w:r>
    </w:p>
    <w:p>
      <w:pPr>
        <w:spacing w:line="380" w:lineRule="exact"/>
        <w:rPr>
          <w:rFonts w:ascii="宋体"/>
          <w:color w:val="auto"/>
          <w:sz w:val="24"/>
          <w:szCs w:val="24"/>
        </w:rPr>
      </w:pPr>
    </w:p>
    <w:p>
      <w:pPr>
        <w:spacing w:line="380" w:lineRule="exact"/>
        <w:rPr>
          <w:rFonts w:ascii="宋体"/>
          <w:color w:val="auto"/>
          <w:sz w:val="24"/>
          <w:szCs w:val="24"/>
        </w:rPr>
      </w:pPr>
    </w:p>
    <w:p>
      <w:pPr>
        <w:spacing w:line="380" w:lineRule="exact"/>
        <w:rPr>
          <w:rFonts w:ascii="宋体"/>
          <w:color w:val="auto"/>
          <w:sz w:val="24"/>
          <w:szCs w:val="24"/>
        </w:rPr>
      </w:pPr>
    </w:p>
    <w:p>
      <w:pPr>
        <w:spacing w:line="380" w:lineRule="exact"/>
        <w:rPr>
          <w:rFonts w:ascii="宋体"/>
          <w:color w:val="auto"/>
          <w:sz w:val="24"/>
          <w:szCs w:val="24"/>
        </w:rPr>
      </w:pPr>
      <w:r>
        <w:rPr>
          <w:rFonts w:hint="eastAsia" w:ascii="宋体" w:hAnsi="宋体" w:cs="宋体"/>
          <w:color w:val="auto"/>
          <w:sz w:val="24"/>
          <w:szCs w:val="24"/>
        </w:rPr>
        <w:t>供应商（全称并加盖公章）：</w:t>
      </w:r>
    </w:p>
    <w:p>
      <w:pPr>
        <w:pStyle w:val="91"/>
        <w:spacing w:line="360" w:lineRule="auto"/>
        <w:outlineLvl w:val="1"/>
        <w:rPr>
          <w:rFonts w:hAnsi="宋体" w:cs="Times New Roman"/>
          <w:b/>
          <w:bCs/>
          <w:color w:val="auto"/>
          <w:sz w:val="36"/>
          <w:szCs w:val="36"/>
        </w:rPr>
      </w:pPr>
      <w:bookmarkStart w:id="89" w:name="_Toc2341"/>
      <w:bookmarkStart w:id="90" w:name="_Toc4209"/>
      <w:bookmarkStart w:id="91" w:name="_Toc17224"/>
      <w:r>
        <w:rPr>
          <w:rFonts w:hint="eastAsia" w:hAnsi="宋体"/>
          <w:color w:val="auto"/>
          <w:sz w:val="24"/>
          <w:szCs w:val="24"/>
        </w:rPr>
        <w:t>供应商代表签字：</w:t>
      </w:r>
      <w:bookmarkEnd w:id="89"/>
      <w:bookmarkEnd w:id="90"/>
      <w:bookmarkEnd w:id="91"/>
    </w:p>
    <w:p>
      <w:pPr>
        <w:pStyle w:val="91"/>
        <w:spacing w:line="360" w:lineRule="auto"/>
        <w:jc w:val="center"/>
        <w:outlineLvl w:val="9"/>
        <w:rPr>
          <w:rFonts w:hAnsi="宋体" w:cs="Times New Roman"/>
          <w:b/>
          <w:bCs/>
          <w:color w:val="auto"/>
          <w:sz w:val="36"/>
          <w:szCs w:val="36"/>
        </w:rPr>
      </w:pPr>
    </w:p>
    <w:p>
      <w:pPr>
        <w:pStyle w:val="91"/>
        <w:spacing w:line="360" w:lineRule="auto"/>
        <w:jc w:val="center"/>
        <w:rPr>
          <w:rFonts w:hAnsi="宋体" w:cs="Times New Roman"/>
          <w:b/>
          <w:bCs/>
          <w:color w:val="auto"/>
          <w:sz w:val="36"/>
          <w:szCs w:val="36"/>
        </w:rPr>
      </w:pPr>
      <w:bookmarkStart w:id="92" w:name="_Toc2468"/>
      <w:bookmarkStart w:id="93" w:name="_Toc15189"/>
      <w:bookmarkStart w:id="94" w:name="_Toc4170"/>
      <w:r>
        <w:rPr>
          <w:rFonts w:hint="eastAsia"/>
          <w:b/>
          <w:bCs/>
          <w:color w:val="auto"/>
          <w:sz w:val="24"/>
          <w:szCs w:val="24"/>
        </w:rPr>
        <w:t>采购内容及要求的承诺书</w:t>
      </w:r>
      <w:bookmarkEnd w:id="92"/>
      <w:bookmarkEnd w:id="93"/>
      <w:bookmarkEnd w:id="94"/>
    </w:p>
    <w:p>
      <w:pPr>
        <w:spacing w:line="360" w:lineRule="auto"/>
        <w:ind w:firstLine="480" w:firstLineChars="200"/>
        <w:rPr>
          <w:rFonts w:ascii="宋体"/>
          <w:color w:val="auto"/>
          <w:sz w:val="24"/>
          <w:szCs w:val="24"/>
        </w:rPr>
      </w:pPr>
      <w:bookmarkStart w:id="95" w:name="_Toc28518"/>
      <w:r>
        <w:rPr>
          <w:rFonts w:hint="eastAsia" w:ascii="宋体" w:hAnsi="宋体" w:cs="宋体"/>
          <w:color w:val="auto"/>
          <w:sz w:val="24"/>
          <w:szCs w:val="24"/>
        </w:rPr>
        <w:t>询价供应商名称：</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采购编号∶</w:t>
      </w:r>
      <w:r>
        <w:rPr>
          <w:rFonts w:ascii="宋体"/>
          <w:color w:val="auto"/>
          <w:sz w:val="24"/>
          <w:szCs w:val="24"/>
        </w:rPr>
        <w:tab/>
      </w:r>
      <w:r>
        <w:rPr>
          <w:rFonts w:hint="eastAsia" w:ascii="宋体"/>
          <w:color w:val="auto"/>
          <w:sz w:val="24"/>
          <w:szCs w:val="24"/>
          <w:lang w:val="en-US" w:eastAsia="zh-CN"/>
        </w:rPr>
        <w:t xml:space="preserve">       </w:t>
      </w:r>
      <w:r>
        <w:rPr>
          <w:rFonts w:hint="eastAsia" w:ascii="宋体" w:hAnsi="宋体" w:cs="宋体"/>
          <w:color w:val="auto"/>
          <w:sz w:val="24"/>
          <w:szCs w:val="24"/>
        </w:rPr>
        <w:t>合同包号：</w:t>
      </w:r>
      <w:bookmarkEnd w:id="95"/>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我司现就采购项目的询价内容及要求作出如下承诺：</w:t>
      </w:r>
    </w:p>
    <w:p>
      <w:pPr>
        <w:spacing w:line="360" w:lineRule="auto"/>
        <w:ind w:firstLine="480" w:firstLineChars="200"/>
        <w:rPr>
          <w:rFonts w:ascii="宋体"/>
          <w:b/>
          <w:bCs/>
          <w:color w:val="auto"/>
          <w:sz w:val="24"/>
          <w:szCs w:val="24"/>
          <w:u w:val="single"/>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b/>
          <w:bCs/>
          <w:color w:val="auto"/>
          <w:sz w:val="24"/>
          <w:szCs w:val="24"/>
        </w:rPr>
        <w:t>完全</w:t>
      </w:r>
      <w:r>
        <w:rPr>
          <w:rFonts w:hint="eastAsia" w:hAnsi="宋体" w:cs="宋体"/>
          <w:b/>
          <w:bCs/>
          <w:color w:val="auto"/>
          <w:sz w:val="24"/>
          <w:szCs w:val="24"/>
        </w:rPr>
        <w:t>实质性</w:t>
      </w:r>
      <w:r>
        <w:rPr>
          <w:rFonts w:hint="eastAsia" w:ascii="宋体" w:hAnsi="宋体" w:cs="宋体"/>
          <w:b/>
          <w:bCs/>
          <w:color w:val="auto"/>
          <w:sz w:val="24"/>
          <w:szCs w:val="24"/>
        </w:rPr>
        <w:t>满足</w:t>
      </w:r>
      <w:r>
        <w:rPr>
          <w:rFonts w:hint="eastAsia" w:hAnsi="宋体" w:cs="宋体"/>
          <w:b/>
          <w:bCs/>
          <w:color w:val="auto"/>
          <w:sz w:val="24"/>
          <w:szCs w:val="24"/>
        </w:rPr>
        <w:t>《</w:t>
      </w:r>
      <w:r>
        <w:rPr>
          <w:rFonts w:hint="eastAsia" w:ascii="宋体" w:hAnsi="宋体" w:cs="宋体"/>
          <w:b/>
          <w:bCs/>
          <w:color w:val="auto"/>
          <w:sz w:val="24"/>
          <w:szCs w:val="24"/>
        </w:rPr>
        <w:t>第三章询价内容及要求</w:t>
      </w:r>
      <w:r>
        <w:rPr>
          <w:rFonts w:hint="eastAsia" w:hAnsi="宋体" w:cs="宋体"/>
          <w:b/>
          <w:bCs/>
          <w:color w:val="auto"/>
          <w:sz w:val="24"/>
          <w:szCs w:val="24"/>
        </w:rPr>
        <w:t>》</w:t>
      </w:r>
      <w:r>
        <w:rPr>
          <w:rFonts w:hint="eastAsia" w:ascii="宋体" w:hAnsi="宋体" w:cs="宋体"/>
          <w:b/>
          <w:bCs/>
          <w:color w:val="auto"/>
          <w:sz w:val="24"/>
          <w:szCs w:val="24"/>
        </w:rPr>
        <w:t>的</w:t>
      </w:r>
      <w:r>
        <w:rPr>
          <w:rFonts w:hint="eastAsia" w:hAnsi="宋体" w:cs="宋体"/>
          <w:b/>
          <w:bCs/>
          <w:color w:val="auto"/>
          <w:sz w:val="24"/>
          <w:szCs w:val="24"/>
        </w:rPr>
        <w:t>“</w:t>
      </w:r>
      <w:r>
        <w:rPr>
          <w:rFonts w:hint="eastAsia" w:ascii="宋体" w:hAnsi="宋体" w:cs="宋体"/>
          <w:b/>
          <w:bCs/>
          <w:color w:val="auto"/>
          <w:sz w:val="24"/>
          <w:szCs w:val="24"/>
        </w:rPr>
        <w:t>三、商务条件</w:t>
      </w:r>
      <w:r>
        <w:rPr>
          <w:rFonts w:hint="eastAsia" w:hAnsi="宋体" w:cs="宋体"/>
          <w:b/>
          <w:bCs/>
          <w:color w:val="auto"/>
          <w:sz w:val="24"/>
          <w:szCs w:val="24"/>
        </w:rPr>
        <w:t>”</w:t>
      </w:r>
      <w:r>
        <w:rPr>
          <w:rFonts w:hint="eastAsia" w:ascii="宋体" w:hAnsi="宋体" w:cs="宋体"/>
          <w:b/>
          <w:bCs/>
          <w:color w:val="auto"/>
          <w:sz w:val="24"/>
          <w:szCs w:val="24"/>
        </w:rPr>
        <w:t>所有要求。</w:t>
      </w:r>
    </w:p>
    <w:p>
      <w:pPr>
        <w:spacing w:line="360" w:lineRule="auto"/>
        <w:ind w:right="561" w:firstLine="480" w:firstLineChars="200"/>
        <w:outlineLvl w:val="1"/>
        <w:rPr>
          <w:rFonts w:ascii="宋体"/>
          <w:b/>
          <w:bCs/>
          <w:color w:val="auto"/>
          <w:sz w:val="24"/>
          <w:szCs w:val="24"/>
        </w:rPr>
      </w:pPr>
      <w:bookmarkStart w:id="96" w:name="_Toc30787"/>
      <w:r>
        <w:rPr>
          <w:rFonts w:ascii="宋体" w:hAnsi="宋体" w:cs="宋体"/>
          <w:color w:val="auto"/>
          <w:sz w:val="24"/>
          <w:szCs w:val="24"/>
        </w:rPr>
        <w:t>2</w:t>
      </w:r>
      <w:r>
        <w:rPr>
          <w:rFonts w:hint="eastAsia" w:ascii="宋体" w:hAnsi="宋体" w:cs="宋体"/>
          <w:color w:val="auto"/>
          <w:sz w:val="24"/>
          <w:szCs w:val="24"/>
        </w:rPr>
        <w:t>、如若成交，将完全执行以上承诺。</w:t>
      </w:r>
      <w:bookmarkEnd w:id="96"/>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80" w:lineRule="exact"/>
        <w:rPr>
          <w:rFonts w:ascii="宋体"/>
          <w:color w:val="auto"/>
          <w:sz w:val="24"/>
          <w:szCs w:val="24"/>
        </w:rPr>
      </w:pPr>
      <w:r>
        <w:rPr>
          <w:rFonts w:hint="eastAsia" w:ascii="宋体" w:hAnsi="宋体" w:cs="宋体"/>
          <w:color w:val="auto"/>
          <w:sz w:val="24"/>
          <w:szCs w:val="24"/>
        </w:rPr>
        <w:t>供应商（全称并加盖公章）：</w:t>
      </w:r>
    </w:p>
    <w:p>
      <w:pPr>
        <w:spacing w:line="380" w:lineRule="exact"/>
        <w:rPr>
          <w:rFonts w:ascii="宋体"/>
          <w:color w:val="auto"/>
          <w:sz w:val="24"/>
          <w:szCs w:val="24"/>
        </w:rPr>
      </w:pPr>
      <w:r>
        <w:rPr>
          <w:rFonts w:hint="eastAsia" w:ascii="宋体" w:hAnsi="宋体" w:cs="宋体"/>
          <w:color w:val="auto"/>
          <w:sz w:val="24"/>
          <w:szCs w:val="24"/>
        </w:rPr>
        <w:t>供应商代表签字：</w:t>
      </w: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pStyle w:val="28"/>
        <w:ind w:firstLine="200"/>
        <w:rPr>
          <w:color w:val="auto"/>
        </w:rPr>
      </w:pPr>
    </w:p>
    <w:p>
      <w:pPr>
        <w:spacing w:line="360" w:lineRule="auto"/>
        <w:rPr>
          <w:rFonts w:ascii="宋体"/>
          <w:color w:val="auto"/>
          <w:sz w:val="24"/>
          <w:szCs w:val="24"/>
          <w:u w:val="single"/>
        </w:rPr>
      </w:pPr>
    </w:p>
    <w:p>
      <w:pPr>
        <w:jc w:val="center"/>
        <w:rPr>
          <w:b/>
          <w:bCs/>
          <w:color w:val="auto"/>
          <w:sz w:val="32"/>
          <w:szCs w:val="32"/>
        </w:rPr>
      </w:pPr>
      <w:bookmarkStart w:id="97" w:name="_Toc143"/>
      <w:r>
        <w:rPr>
          <w:rFonts w:hint="eastAsia" w:cs="宋体"/>
          <w:b/>
          <w:bCs/>
          <w:color w:val="auto"/>
          <w:sz w:val="32"/>
          <w:szCs w:val="32"/>
        </w:rPr>
        <w:t>提交的其它资料</w:t>
      </w:r>
      <w:bookmarkEnd w:id="97"/>
    </w:p>
    <w:p>
      <w:pPr>
        <w:spacing w:line="360" w:lineRule="auto"/>
        <w:ind w:firstLine="723" w:firstLineChars="200"/>
        <w:rPr>
          <w:rFonts w:ascii="宋体"/>
          <w:b/>
          <w:bCs/>
          <w:color w:val="auto"/>
          <w:sz w:val="36"/>
          <w:szCs w:val="36"/>
        </w:rPr>
      </w:pPr>
    </w:p>
    <w:p>
      <w:pPr>
        <w:spacing w:line="360" w:lineRule="auto"/>
        <w:rPr>
          <w:rFonts w:ascii="宋体"/>
          <w:b/>
          <w:bCs/>
          <w:color w:val="auto"/>
          <w:sz w:val="36"/>
          <w:szCs w:val="36"/>
        </w:rPr>
      </w:pPr>
      <w:r>
        <w:rPr>
          <w:rFonts w:hint="eastAsia" w:ascii="宋体" w:hAnsi="宋体" w:cs="宋体"/>
          <w:color w:val="auto"/>
          <w:sz w:val="24"/>
          <w:szCs w:val="24"/>
        </w:rPr>
        <w:t>如：</w:t>
      </w:r>
      <w:r>
        <w:rPr>
          <w:rFonts w:hint="eastAsia" w:ascii="宋体" w:hAnsi="宋体" w:cs="宋体"/>
          <w:color w:val="auto"/>
          <w:sz w:val="24"/>
          <w:szCs w:val="24"/>
          <w:lang w:val="zh-CN"/>
        </w:rPr>
        <w:t>资质证书和《施工企业安全生产许可证》复印件、</w:t>
      </w:r>
      <w:r>
        <w:rPr>
          <w:rFonts w:hint="eastAsia" w:ascii="宋体" w:hAnsi="宋体" w:cs="宋体"/>
          <w:color w:val="auto"/>
          <w:sz w:val="24"/>
          <w:szCs w:val="24"/>
        </w:rPr>
        <w:t>货物符合询价通知书的证明材料、企业资信材料等。</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pStyle w:val="16"/>
        <w:snapToGrid w:val="0"/>
        <w:spacing w:line="360" w:lineRule="auto"/>
        <w:ind w:firstLine="420" w:firstLineChars="200"/>
        <w:jc w:val="left"/>
        <w:rPr>
          <w:rFonts w:hAnsi="宋体" w:cs="Times New Roman"/>
          <w:color w:val="auto"/>
        </w:rPr>
      </w:pPr>
    </w:p>
    <w:p>
      <w:pPr>
        <w:pStyle w:val="16"/>
        <w:snapToGrid w:val="0"/>
        <w:spacing w:line="360" w:lineRule="auto"/>
        <w:ind w:firstLine="420" w:firstLineChars="200"/>
        <w:jc w:val="left"/>
        <w:rPr>
          <w:rFonts w:hAnsi="宋体" w:cs="Times New Roman"/>
          <w:color w:val="auto"/>
        </w:rPr>
      </w:pPr>
    </w:p>
    <w:p>
      <w:pPr>
        <w:pStyle w:val="16"/>
        <w:snapToGrid w:val="0"/>
        <w:spacing w:line="360" w:lineRule="auto"/>
        <w:ind w:firstLine="420" w:firstLineChars="200"/>
        <w:jc w:val="left"/>
        <w:rPr>
          <w:rFonts w:hAnsi="宋体" w:cs="Times New Roman"/>
          <w:color w:val="auto"/>
        </w:rPr>
      </w:pPr>
    </w:p>
    <w:p>
      <w:pPr>
        <w:pStyle w:val="91"/>
        <w:spacing w:line="360" w:lineRule="auto"/>
        <w:ind w:firstLine="480" w:firstLineChars="200"/>
        <w:outlineLvl w:val="9"/>
        <w:rPr>
          <w:rFonts w:hAnsi="宋体" w:cs="Times New Roman"/>
          <w:color w:val="auto"/>
          <w:sz w:val="24"/>
          <w:szCs w:val="24"/>
        </w:rPr>
      </w:pPr>
    </w:p>
    <w:p>
      <w:pPr>
        <w:spacing w:line="360" w:lineRule="auto"/>
        <w:ind w:firstLine="560" w:firstLineChars="200"/>
        <w:rPr>
          <w:rFonts w:ascii="宋体"/>
          <w:color w:val="auto"/>
          <w:sz w:val="28"/>
          <w:szCs w:val="28"/>
        </w:rPr>
      </w:pPr>
    </w:p>
    <w:p>
      <w:pPr>
        <w:spacing w:line="360" w:lineRule="auto"/>
        <w:ind w:firstLine="560" w:firstLineChars="200"/>
        <w:rPr>
          <w:rFonts w:ascii="宋体"/>
          <w:color w:val="auto"/>
          <w:sz w:val="28"/>
          <w:szCs w:val="28"/>
        </w:rPr>
      </w:pPr>
    </w:p>
    <w:p>
      <w:pPr>
        <w:spacing w:line="360" w:lineRule="auto"/>
        <w:ind w:firstLine="560" w:firstLineChars="200"/>
        <w:rPr>
          <w:rFonts w:ascii="宋体"/>
          <w:color w:val="auto"/>
          <w:sz w:val="28"/>
          <w:szCs w:val="28"/>
        </w:rPr>
      </w:pPr>
    </w:p>
    <w:p>
      <w:pPr>
        <w:spacing w:line="360" w:lineRule="auto"/>
        <w:ind w:firstLine="560" w:firstLineChars="200"/>
        <w:rPr>
          <w:rFonts w:ascii="宋体"/>
          <w:color w:val="auto"/>
          <w:sz w:val="28"/>
          <w:szCs w:val="28"/>
        </w:rPr>
      </w:pPr>
    </w:p>
    <w:p>
      <w:pPr>
        <w:spacing w:line="360" w:lineRule="auto"/>
        <w:ind w:firstLine="720" w:firstLineChars="300"/>
        <w:rPr>
          <w:rFonts w:ascii="宋体"/>
          <w:color w:val="auto"/>
          <w:sz w:val="28"/>
          <w:szCs w:val="28"/>
        </w:rPr>
      </w:pPr>
      <w:r>
        <w:rPr>
          <w:rFonts w:hint="eastAsia" w:ascii="宋体" w:hAnsi="宋体" w:cs="宋体"/>
          <w:color w:val="auto"/>
          <w:sz w:val="24"/>
          <w:szCs w:val="24"/>
        </w:rPr>
        <w:t>供应商（全称并加盖公章）：</w:t>
      </w:r>
    </w:p>
    <w:p>
      <w:pPr>
        <w:spacing w:line="360" w:lineRule="auto"/>
        <w:ind w:firstLine="480" w:firstLineChars="200"/>
        <w:rPr>
          <w:rFonts w:ascii="宋体"/>
          <w:color w:val="auto"/>
          <w:sz w:val="24"/>
          <w:szCs w:val="24"/>
          <w:u w:val="single"/>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供应商代表签字或盖章：</w:t>
      </w: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u w:val="single"/>
        </w:rPr>
      </w:pPr>
    </w:p>
    <w:p>
      <w:pPr>
        <w:spacing w:line="360" w:lineRule="auto"/>
        <w:ind w:firstLine="723" w:firstLineChars="200"/>
        <w:jc w:val="center"/>
        <w:rPr>
          <w:rFonts w:ascii="宋体"/>
          <w:b/>
          <w:bCs/>
          <w:color w:val="auto"/>
          <w:sz w:val="36"/>
          <w:szCs w:val="36"/>
        </w:rPr>
      </w:pPr>
    </w:p>
    <w:p>
      <w:pPr>
        <w:pStyle w:val="28"/>
        <w:ind w:firstLine="0" w:firstLineChars="0"/>
        <w:rPr>
          <w:rFonts w:cs="宋体"/>
          <w:b/>
          <w:bCs/>
          <w:color w:val="auto"/>
          <w:sz w:val="24"/>
          <w:szCs w:val="24"/>
          <w:u w:val="single"/>
        </w:rPr>
      </w:pPr>
    </w:p>
    <w:p>
      <w:pPr>
        <w:pStyle w:val="28"/>
        <w:ind w:firstLine="241"/>
        <w:rPr>
          <w:rFonts w:cs="宋体"/>
          <w:b/>
          <w:bCs/>
          <w:color w:val="auto"/>
          <w:sz w:val="24"/>
          <w:szCs w:val="24"/>
          <w:u w:val="single"/>
        </w:rPr>
      </w:pPr>
    </w:p>
    <w:p>
      <w:pPr>
        <w:pStyle w:val="28"/>
        <w:ind w:firstLine="241"/>
        <w:rPr>
          <w:rFonts w:cs="宋体"/>
          <w:b/>
          <w:bCs/>
          <w:color w:val="auto"/>
          <w:sz w:val="24"/>
          <w:szCs w:val="24"/>
          <w:u w:val="single"/>
        </w:rPr>
      </w:pPr>
    </w:p>
    <w:sectPr>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ΟGB2312">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53"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w:t>
                          </w:r>
                          <w:r>
                            <w:rPr>
                              <w:rFonts w:hint="eastAsia"/>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L3UTQAAAAAgEAAA8AAAAAAAAAAQAg&#10;AAAAIgAAAGRycy9kb3ducmV2LnhtbFBLAQIUABQAAAAIAIdO4kBTMCPC3QEAAK4DAAAOAAAAAAAA&#10;AAEAIAAAAB8BAABkcnMvZTJvRG9jLnhtbFBLBQYAAAAABgAGAFkBAABuBQ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4"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pStyle w:val="20"/>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PlfknQAAAAAwEAAA8AAAAAAAAAAQAg&#10;AAAAIgAAAGRycy9kb3ducmV2LnhtbFBLAQIUABQAAAAIAIdO4kCkTFjQ3QEAAK8DAAAOAAAAAAAA&#10;AAEAIAAAAB8BAABkcnMvZTJvRG9jLnhtbFBLBQYAAAAABgAGAFkBAABuBQAAAAA=&#10;">
              <v:fill on="f" focussize="0,0"/>
              <v:stroke on="f"/>
              <v:imagedata o:title=""/>
              <o:lock v:ext="edit" aspectratio="f"/>
              <v:textbox inset="0mm,0mm,0mm,0mm" style="mso-fit-shape-to-text:t;">
                <w:txbxContent>
                  <w:p>
                    <w:pPr>
                      <w:pStyle w:val="2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hd w:val="pct5" w:color="auto" w:fill="auto"/>
      <w:jc w:val="both"/>
      <w:rPr>
        <w:rFonts w:eastAsia="仿宋_GB2312"/>
      </w:rPr>
    </w:pPr>
    <w:r>
      <w:rPr>
        <w:rFonts w:hint="eastAsia" w:eastAsia="仿宋_GB2312" w:cs="仿宋_GB2312"/>
      </w:rPr>
      <w:t>政府采购询价通知书</w:t>
    </w:r>
    <w:r>
      <w:rPr>
        <w:rFonts w:ascii="仿宋_GB2312" w:eastAsia="仿宋_GB2312" w:cs="仿宋_GB2312"/>
      </w:rPr>
      <w:t xml:space="preserve">                                       2007</w:t>
    </w:r>
    <w:r>
      <w:rPr>
        <w:rFonts w:hint="eastAsia" w:ascii="仿宋_GB2312" w:eastAsia="仿宋_GB2312" w:cs="仿宋_GB2312"/>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shd w:val="pct5" w:color="auto" w:fill="auto"/>
      <w:tabs>
        <w:tab w:val="left" w:pos="2032"/>
        <w:tab w:val="clear" w:pos="4153"/>
      </w:tabs>
      <w:jc w:val="left"/>
    </w:pPr>
    <w:r>
      <w:rPr>
        <w:rFonts w:hint="eastAsia" w:ascii="宋体" w:hAnsi="宋体" w:cs="宋体"/>
        <w:color w:val="000000" w:themeColor="text1"/>
        <w:sz w:val="18"/>
        <w:szCs w:val="18"/>
        <w:lang w:eastAsia="zh-CN"/>
        <w14:textFill>
          <w14:solidFill>
            <w14:schemeClr w14:val="tx1"/>
          </w14:solidFill>
        </w14:textFill>
      </w:rPr>
      <w:t>龙岩学院火灾自动报警系统维护改造服务项目货物类采购项目</w:t>
    </w:r>
    <w:r>
      <w:rPr>
        <w:rFonts w:hint="eastAsia"/>
      </w:rPr>
      <w:tab/>
    </w:r>
    <w:r>
      <w:rPr>
        <w:rFonts w:hint="eastAsia"/>
        <w:lang w:val="en-US" w:eastAsia="zh-CN"/>
      </w:rPr>
      <w:t xml:space="preserve">              </w:t>
    </w:r>
    <w:r>
      <w:rPr>
        <w:rFonts w:hint="eastAsia"/>
        <w:lang w:eastAsia="zh-CN"/>
      </w:rPr>
      <w:t>询价通知书</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FAB5E"/>
    <w:multiLevelType w:val="singleLevel"/>
    <w:tmpl w:val="94AFAB5E"/>
    <w:lvl w:ilvl="0" w:tentative="0">
      <w:start w:val="1"/>
      <w:numFmt w:val="decimal"/>
      <w:suff w:val="nothing"/>
      <w:lvlText w:val="%1、"/>
      <w:lvlJc w:val="left"/>
    </w:lvl>
  </w:abstractNum>
  <w:abstractNum w:abstractNumId="1">
    <w:nsid w:val="B1698FB8"/>
    <w:multiLevelType w:val="singleLevel"/>
    <w:tmpl w:val="B1698FB8"/>
    <w:lvl w:ilvl="0" w:tentative="0">
      <w:start w:val="1"/>
      <w:numFmt w:val="decimal"/>
      <w:suff w:val="nothing"/>
      <w:lvlText w:val="%1、"/>
      <w:lvlJc w:val="left"/>
    </w:lvl>
  </w:abstractNum>
  <w:abstractNum w:abstractNumId="2">
    <w:nsid w:val="E585C86C"/>
    <w:multiLevelType w:val="singleLevel"/>
    <w:tmpl w:val="E585C86C"/>
    <w:lvl w:ilvl="0" w:tentative="0">
      <w:start w:val="1"/>
      <w:numFmt w:val="decimal"/>
      <w:suff w:val="nothing"/>
      <w:lvlText w:val="%1、"/>
      <w:lvlJc w:val="left"/>
    </w:lvl>
  </w:abstractNum>
  <w:abstractNum w:abstractNumId="3">
    <w:nsid w:val="F5E5858D"/>
    <w:multiLevelType w:val="singleLevel"/>
    <w:tmpl w:val="F5E5858D"/>
    <w:lvl w:ilvl="0" w:tentative="0">
      <w:start w:val="8"/>
      <w:numFmt w:val="decimal"/>
      <w:lvlText w:val="%1."/>
      <w:lvlJc w:val="left"/>
      <w:pPr>
        <w:tabs>
          <w:tab w:val="left" w:pos="312"/>
        </w:tabs>
      </w:pPr>
    </w:lvl>
  </w:abstractNum>
  <w:abstractNum w:abstractNumId="4">
    <w:nsid w:val="FB96CFAB"/>
    <w:multiLevelType w:val="singleLevel"/>
    <w:tmpl w:val="FB96CFAB"/>
    <w:lvl w:ilvl="0" w:tentative="0">
      <w:start w:val="1"/>
      <w:numFmt w:val="decimal"/>
      <w:suff w:val="nothing"/>
      <w:lvlText w:val="%1、"/>
      <w:lvlJc w:val="left"/>
    </w:lvl>
  </w:abstractNum>
  <w:abstractNum w:abstractNumId="5">
    <w:nsid w:val="FE8A9AA9"/>
    <w:multiLevelType w:val="singleLevel"/>
    <w:tmpl w:val="FE8A9AA9"/>
    <w:lvl w:ilvl="0" w:tentative="0">
      <w:start w:val="2"/>
      <w:numFmt w:val="chineseCounting"/>
      <w:suff w:val="nothing"/>
      <w:lvlText w:val="%1、"/>
      <w:lvlJc w:val="left"/>
      <w:rPr>
        <w:rFonts w:hint="eastAsia"/>
      </w:rPr>
    </w:lvl>
  </w:abstractNum>
  <w:abstractNum w:abstractNumId="6">
    <w:nsid w:val="0A664536"/>
    <w:multiLevelType w:val="singleLevel"/>
    <w:tmpl w:val="0A664536"/>
    <w:lvl w:ilvl="0" w:tentative="0">
      <w:start w:val="1"/>
      <w:numFmt w:val="decimal"/>
      <w:lvlText w:val="%1."/>
      <w:lvlJc w:val="left"/>
      <w:pPr>
        <w:tabs>
          <w:tab w:val="left" w:pos="312"/>
        </w:tabs>
      </w:pPr>
    </w:lvl>
  </w:abstractNum>
  <w:abstractNum w:abstractNumId="7">
    <w:nsid w:val="28020941"/>
    <w:multiLevelType w:val="multilevel"/>
    <w:tmpl w:val="28020941"/>
    <w:lvl w:ilvl="0" w:tentative="0">
      <w:start w:val="1"/>
      <w:numFmt w:val="chineseCountingThousand"/>
      <w:pStyle w:val="3"/>
      <w:suff w:val="nothing"/>
      <w:lvlText w:val="第%1部分"/>
      <w:lvlJc w:val="left"/>
      <w:rPr>
        <w:rFonts w:hint="eastAsia" w:ascii="黑体" w:eastAsia="黑体"/>
        <w:sz w:val="32"/>
        <w:szCs w:val="32"/>
      </w:rPr>
    </w:lvl>
    <w:lvl w:ilvl="1" w:tentative="0">
      <w:start w:val="1"/>
      <w:numFmt w:val="upperLetter"/>
      <w:pStyle w:val="2"/>
      <w:suff w:val="nothing"/>
      <w:lvlText w:val="%2"/>
      <w:lvlJc w:val="left"/>
      <w:rPr>
        <w:rFonts w:hint="default" w:ascii="CG Times" w:hAnsi="CG Times" w:cs="CG Times"/>
        <w:b/>
        <w:bCs/>
        <w:i w:val="0"/>
        <w:iCs w:val="0"/>
        <w:sz w:val="28"/>
        <w:szCs w:val="28"/>
      </w:rPr>
    </w:lvl>
    <w:lvl w:ilvl="2" w:tentative="0">
      <w:start w:val="1"/>
      <w:numFmt w:val="decimal"/>
      <w:lvlRestart w:val="0"/>
      <w:suff w:val="nothing"/>
      <w:lvlText w:val="%3"/>
      <w:lvlJc w:val="left"/>
      <w:rPr>
        <w:rFonts w:hint="eastAsia" w:ascii="宋体" w:eastAsia="宋体"/>
        <w:b/>
        <w:bCs/>
        <w:i w:val="0"/>
        <w:iCs w:val="0"/>
        <w:sz w:val="28"/>
        <w:szCs w:val="28"/>
      </w:rPr>
    </w:lvl>
    <w:lvl w:ilvl="3" w:tentative="0">
      <w:start w:val="1"/>
      <w:numFmt w:val="none"/>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8"/>
      <w:suff w:val="nothing"/>
      <w:lvlText w:val=""/>
      <w:lvlJc w:val="left"/>
      <w:rPr>
        <w:rFonts w:hint="eastAsia"/>
      </w:rPr>
    </w:lvl>
    <w:lvl w:ilvl="6" w:tentative="0">
      <w:start w:val="1"/>
      <w:numFmt w:val="none"/>
      <w:pStyle w:val="9"/>
      <w:suff w:val="nothing"/>
      <w:lvlText w:val=""/>
      <w:lvlJc w:val="left"/>
      <w:rPr>
        <w:rFonts w:hint="eastAsia"/>
      </w:rPr>
    </w:lvl>
    <w:lvl w:ilvl="7" w:tentative="0">
      <w:start w:val="1"/>
      <w:numFmt w:val="none"/>
      <w:pStyle w:val="10"/>
      <w:suff w:val="nothing"/>
      <w:lvlText w:val=""/>
      <w:lvlJc w:val="left"/>
      <w:rPr>
        <w:rFonts w:hint="eastAsia"/>
      </w:rPr>
    </w:lvl>
    <w:lvl w:ilvl="8" w:tentative="0">
      <w:start w:val="1"/>
      <w:numFmt w:val="none"/>
      <w:pStyle w:val="11"/>
      <w:suff w:val="nothing"/>
      <w:lvlText w:val=""/>
      <w:lvlJc w:val="left"/>
      <w:rPr>
        <w:rFonts w:hint="eastAsia"/>
      </w:rPr>
    </w:lvl>
  </w:abstractNum>
  <w:abstractNum w:abstractNumId="8">
    <w:nsid w:val="2F854E9C"/>
    <w:multiLevelType w:val="singleLevel"/>
    <w:tmpl w:val="2F854E9C"/>
    <w:lvl w:ilvl="0" w:tentative="0">
      <w:start w:val="1"/>
      <w:numFmt w:val="decimal"/>
      <w:pStyle w:val="6"/>
      <w:lvlText w:val="%1."/>
      <w:lvlJc w:val="left"/>
      <w:pPr>
        <w:tabs>
          <w:tab w:val="left" w:pos="425"/>
        </w:tabs>
        <w:ind w:left="425" w:hanging="425"/>
      </w:pPr>
      <w:rPr>
        <w:rFonts w:hint="eastAsia"/>
      </w:rPr>
    </w:lvl>
  </w:abstractNum>
  <w:abstractNum w:abstractNumId="9">
    <w:nsid w:val="5442CB75"/>
    <w:multiLevelType w:val="singleLevel"/>
    <w:tmpl w:val="5442CB75"/>
    <w:lvl w:ilvl="0" w:tentative="0">
      <w:start w:val="1"/>
      <w:numFmt w:val="decimal"/>
      <w:lvlText w:val="%1."/>
      <w:lvlJc w:val="left"/>
      <w:pPr>
        <w:tabs>
          <w:tab w:val="left" w:pos="312"/>
        </w:tabs>
      </w:pPr>
    </w:lvl>
  </w:abstractNum>
  <w:abstractNum w:abstractNumId="10">
    <w:nsid w:val="5F6A1EEE"/>
    <w:multiLevelType w:val="singleLevel"/>
    <w:tmpl w:val="5F6A1EEE"/>
    <w:lvl w:ilvl="0" w:tentative="0">
      <w:start w:val="1"/>
      <w:numFmt w:val="decimal"/>
      <w:pStyle w:val="4"/>
      <w:lvlText w:val="%1."/>
      <w:lvlJc w:val="left"/>
      <w:pPr>
        <w:tabs>
          <w:tab w:val="left" w:pos="425"/>
        </w:tabs>
        <w:ind w:left="425" w:hanging="425"/>
      </w:pPr>
      <w:rPr>
        <w:rFonts w:hint="eastAsia"/>
      </w:rPr>
    </w:lvl>
  </w:abstractNum>
  <w:abstractNum w:abstractNumId="11">
    <w:nsid w:val="6343D9FD"/>
    <w:multiLevelType w:val="singleLevel"/>
    <w:tmpl w:val="6343D9FD"/>
    <w:lvl w:ilvl="0" w:tentative="0">
      <w:start w:val="1"/>
      <w:numFmt w:val="decimal"/>
      <w:lvlText w:val="%1."/>
      <w:lvlJc w:val="left"/>
      <w:pPr>
        <w:tabs>
          <w:tab w:val="left" w:pos="312"/>
        </w:tabs>
      </w:pPr>
    </w:lvl>
  </w:abstractNum>
  <w:abstractNum w:abstractNumId="12">
    <w:nsid w:val="66D8B34A"/>
    <w:multiLevelType w:val="singleLevel"/>
    <w:tmpl w:val="66D8B34A"/>
    <w:lvl w:ilvl="0" w:tentative="0">
      <w:start w:val="1"/>
      <w:numFmt w:val="decimal"/>
      <w:lvlText w:val="%1."/>
      <w:lvlJc w:val="left"/>
      <w:pPr>
        <w:tabs>
          <w:tab w:val="left" w:pos="312"/>
        </w:tabs>
      </w:pPr>
    </w:lvl>
  </w:abstractNum>
  <w:abstractNum w:abstractNumId="13">
    <w:nsid w:val="72806C54"/>
    <w:multiLevelType w:val="multilevel"/>
    <w:tmpl w:val="72806C5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pStyle w:val="59"/>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7"/>
  </w:num>
  <w:num w:numId="2">
    <w:abstractNumId w:val="10"/>
  </w:num>
  <w:num w:numId="3">
    <w:abstractNumId w:val="8"/>
  </w:num>
  <w:num w:numId="4">
    <w:abstractNumId w:val="13"/>
  </w:num>
  <w:num w:numId="5">
    <w:abstractNumId w:val="5"/>
  </w:num>
  <w:num w:numId="6">
    <w:abstractNumId w:val="1"/>
  </w:num>
  <w:num w:numId="7">
    <w:abstractNumId w:val="11"/>
  </w:num>
  <w:num w:numId="8">
    <w:abstractNumId w:val="12"/>
  </w:num>
  <w:num w:numId="9">
    <w:abstractNumId w:val="9"/>
  </w:num>
  <w:num w:numId="10">
    <w:abstractNumId w:val="3"/>
  </w:num>
  <w:num w:numId="11">
    <w:abstractNumId w:val="6"/>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ZWQ3NTNlMzlmOTA2YmMwZWJiMGE4NWM0NWE1MTAifQ=="/>
  </w:docVars>
  <w:rsids>
    <w:rsidRoot w:val="005F2469"/>
    <w:rsid w:val="00002013"/>
    <w:rsid w:val="00002941"/>
    <w:rsid w:val="00002BE8"/>
    <w:rsid w:val="00002E97"/>
    <w:rsid w:val="0000357D"/>
    <w:rsid w:val="00003888"/>
    <w:rsid w:val="000038BC"/>
    <w:rsid w:val="00003ECE"/>
    <w:rsid w:val="00005F21"/>
    <w:rsid w:val="00006CE7"/>
    <w:rsid w:val="00007C97"/>
    <w:rsid w:val="00007DAB"/>
    <w:rsid w:val="0001046C"/>
    <w:rsid w:val="000115BA"/>
    <w:rsid w:val="000119FC"/>
    <w:rsid w:val="000125D3"/>
    <w:rsid w:val="0001291C"/>
    <w:rsid w:val="0001495E"/>
    <w:rsid w:val="000156AE"/>
    <w:rsid w:val="00015895"/>
    <w:rsid w:val="000167A2"/>
    <w:rsid w:val="00016DA1"/>
    <w:rsid w:val="000203A5"/>
    <w:rsid w:val="0002354D"/>
    <w:rsid w:val="0002365D"/>
    <w:rsid w:val="00023E2E"/>
    <w:rsid w:val="00024A3B"/>
    <w:rsid w:val="00024D6B"/>
    <w:rsid w:val="0002596A"/>
    <w:rsid w:val="000259EA"/>
    <w:rsid w:val="00025B49"/>
    <w:rsid w:val="00026F93"/>
    <w:rsid w:val="000278C7"/>
    <w:rsid w:val="00030D95"/>
    <w:rsid w:val="00031524"/>
    <w:rsid w:val="00031BCE"/>
    <w:rsid w:val="00032B7D"/>
    <w:rsid w:val="000339AD"/>
    <w:rsid w:val="00034567"/>
    <w:rsid w:val="00034AC4"/>
    <w:rsid w:val="0004223C"/>
    <w:rsid w:val="00043DC5"/>
    <w:rsid w:val="00043E41"/>
    <w:rsid w:val="00045948"/>
    <w:rsid w:val="00045A9C"/>
    <w:rsid w:val="00047625"/>
    <w:rsid w:val="00047846"/>
    <w:rsid w:val="00051665"/>
    <w:rsid w:val="00052F9B"/>
    <w:rsid w:val="0005335B"/>
    <w:rsid w:val="000550F8"/>
    <w:rsid w:val="000556CD"/>
    <w:rsid w:val="00056466"/>
    <w:rsid w:val="000569F7"/>
    <w:rsid w:val="00061180"/>
    <w:rsid w:val="00062BF9"/>
    <w:rsid w:val="00062CDF"/>
    <w:rsid w:val="00064320"/>
    <w:rsid w:val="0006575F"/>
    <w:rsid w:val="000658D3"/>
    <w:rsid w:val="00065F85"/>
    <w:rsid w:val="0006647F"/>
    <w:rsid w:val="000701BD"/>
    <w:rsid w:val="00070B5C"/>
    <w:rsid w:val="00075923"/>
    <w:rsid w:val="00077705"/>
    <w:rsid w:val="00077BA2"/>
    <w:rsid w:val="000808CF"/>
    <w:rsid w:val="00081C7B"/>
    <w:rsid w:val="000826C5"/>
    <w:rsid w:val="00082D08"/>
    <w:rsid w:val="00082E28"/>
    <w:rsid w:val="000833EC"/>
    <w:rsid w:val="00084B44"/>
    <w:rsid w:val="00085FB1"/>
    <w:rsid w:val="000863F9"/>
    <w:rsid w:val="00086AA9"/>
    <w:rsid w:val="00087E2B"/>
    <w:rsid w:val="00090253"/>
    <w:rsid w:val="000902BD"/>
    <w:rsid w:val="00091F9A"/>
    <w:rsid w:val="00092451"/>
    <w:rsid w:val="00092D8B"/>
    <w:rsid w:val="00092EF1"/>
    <w:rsid w:val="0009331A"/>
    <w:rsid w:val="00093EDE"/>
    <w:rsid w:val="000959D1"/>
    <w:rsid w:val="00095FE9"/>
    <w:rsid w:val="0009738E"/>
    <w:rsid w:val="00097EFF"/>
    <w:rsid w:val="000A05DD"/>
    <w:rsid w:val="000A0C82"/>
    <w:rsid w:val="000A18B1"/>
    <w:rsid w:val="000A257B"/>
    <w:rsid w:val="000A2654"/>
    <w:rsid w:val="000A4CC6"/>
    <w:rsid w:val="000A5FB8"/>
    <w:rsid w:val="000A61E6"/>
    <w:rsid w:val="000A7303"/>
    <w:rsid w:val="000B08AF"/>
    <w:rsid w:val="000B0CAD"/>
    <w:rsid w:val="000B1278"/>
    <w:rsid w:val="000B16C0"/>
    <w:rsid w:val="000B31A4"/>
    <w:rsid w:val="000B34EA"/>
    <w:rsid w:val="000B458B"/>
    <w:rsid w:val="000B4E78"/>
    <w:rsid w:val="000B540B"/>
    <w:rsid w:val="000B55FD"/>
    <w:rsid w:val="000B5DA7"/>
    <w:rsid w:val="000C0142"/>
    <w:rsid w:val="000C0AC6"/>
    <w:rsid w:val="000C1195"/>
    <w:rsid w:val="000C1A69"/>
    <w:rsid w:val="000C2626"/>
    <w:rsid w:val="000C32D9"/>
    <w:rsid w:val="000C34C6"/>
    <w:rsid w:val="000C767E"/>
    <w:rsid w:val="000D041A"/>
    <w:rsid w:val="000D0CE4"/>
    <w:rsid w:val="000D2AC8"/>
    <w:rsid w:val="000D385B"/>
    <w:rsid w:val="000D3901"/>
    <w:rsid w:val="000D4075"/>
    <w:rsid w:val="000D5B34"/>
    <w:rsid w:val="000D611C"/>
    <w:rsid w:val="000D6686"/>
    <w:rsid w:val="000D6B62"/>
    <w:rsid w:val="000D78A4"/>
    <w:rsid w:val="000D7A89"/>
    <w:rsid w:val="000E176D"/>
    <w:rsid w:val="000E1788"/>
    <w:rsid w:val="000E2F59"/>
    <w:rsid w:val="000E36AD"/>
    <w:rsid w:val="000E3D73"/>
    <w:rsid w:val="000E47DA"/>
    <w:rsid w:val="000E6597"/>
    <w:rsid w:val="000E6A92"/>
    <w:rsid w:val="000E6AFE"/>
    <w:rsid w:val="000F0A3B"/>
    <w:rsid w:val="000F0A65"/>
    <w:rsid w:val="000F0FAC"/>
    <w:rsid w:val="000F16BC"/>
    <w:rsid w:val="000F26AE"/>
    <w:rsid w:val="000F2BE7"/>
    <w:rsid w:val="000F3504"/>
    <w:rsid w:val="000F38E9"/>
    <w:rsid w:val="000F431B"/>
    <w:rsid w:val="000F500C"/>
    <w:rsid w:val="000F50B3"/>
    <w:rsid w:val="000F68AF"/>
    <w:rsid w:val="000F7E84"/>
    <w:rsid w:val="001004C7"/>
    <w:rsid w:val="00101988"/>
    <w:rsid w:val="00103248"/>
    <w:rsid w:val="00104350"/>
    <w:rsid w:val="0010487E"/>
    <w:rsid w:val="001049A5"/>
    <w:rsid w:val="001052C2"/>
    <w:rsid w:val="00106B51"/>
    <w:rsid w:val="00107E5A"/>
    <w:rsid w:val="00110461"/>
    <w:rsid w:val="00111226"/>
    <w:rsid w:val="00112181"/>
    <w:rsid w:val="00114CD7"/>
    <w:rsid w:val="00114FE9"/>
    <w:rsid w:val="00115362"/>
    <w:rsid w:val="00115975"/>
    <w:rsid w:val="00115FC1"/>
    <w:rsid w:val="00116F1A"/>
    <w:rsid w:val="00117029"/>
    <w:rsid w:val="001173FA"/>
    <w:rsid w:val="00117C0A"/>
    <w:rsid w:val="00120785"/>
    <w:rsid w:val="0012097E"/>
    <w:rsid w:val="00121BBC"/>
    <w:rsid w:val="00123383"/>
    <w:rsid w:val="00123546"/>
    <w:rsid w:val="00123C90"/>
    <w:rsid w:val="00123DAE"/>
    <w:rsid w:val="00124BED"/>
    <w:rsid w:val="0012583E"/>
    <w:rsid w:val="001259B2"/>
    <w:rsid w:val="001273F0"/>
    <w:rsid w:val="00127607"/>
    <w:rsid w:val="001304EA"/>
    <w:rsid w:val="00130FE8"/>
    <w:rsid w:val="00131803"/>
    <w:rsid w:val="00131BFC"/>
    <w:rsid w:val="001355D9"/>
    <w:rsid w:val="00136121"/>
    <w:rsid w:val="001361EC"/>
    <w:rsid w:val="00136501"/>
    <w:rsid w:val="001367F7"/>
    <w:rsid w:val="00140061"/>
    <w:rsid w:val="00140A0B"/>
    <w:rsid w:val="00140F73"/>
    <w:rsid w:val="001410C9"/>
    <w:rsid w:val="00141E8F"/>
    <w:rsid w:val="00143073"/>
    <w:rsid w:val="00143CA6"/>
    <w:rsid w:val="00145D31"/>
    <w:rsid w:val="00146933"/>
    <w:rsid w:val="00147494"/>
    <w:rsid w:val="00147ED2"/>
    <w:rsid w:val="00150886"/>
    <w:rsid w:val="0015200B"/>
    <w:rsid w:val="001527B0"/>
    <w:rsid w:val="00153A5F"/>
    <w:rsid w:val="00154A56"/>
    <w:rsid w:val="0015720D"/>
    <w:rsid w:val="00157CE8"/>
    <w:rsid w:val="00157FF0"/>
    <w:rsid w:val="001604A5"/>
    <w:rsid w:val="00160DE2"/>
    <w:rsid w:val="001613C2"/>
    <w:rsid w:val="00162CB9"/>
    <w:rsid w:val="001633D7"/>
    <w:rsid w:val="001644B8"/>
    <w:rsid w:val="0016504E"/>
    <w:rsid w:val="00167860"/>
    <w:rsid w:val="00170255"/>
    <w:rsid w:val="00170DB9"/>
    <w:rsid w:val="00171AF1"/>
    <w:rsid w:val="00172CCC"/>
    <w:rsid w:val="00172D58"/>
    <w:rsid w:val="00173E0C"/>
    <w:rsid w:val="00175275"/>
    <w:rsid w:val="001755FD"/>
    <w:rsid w:val="0017643C"/>
    <w:rsid w:val="001770AB"/>
    <w:rsid w:val="0018010B"/>
    <w:rsid w:val="001834D3"/>
    <w:rsid w:val="0018662B"/>
    <w:rsid w:val="00187D9C"/>
    <w:rsid w:val="00187FA8"/>
    <w:rsid w:val="001912E6"/>
    <w:rsid w:val="00192A70"/>
    <w:rsid w:val="00192EEE"/>
    <w:rsid w:val="00194535"/>
    <w:rsid w:val="00195241"/>
    <w:rsid w:val="00197B20"/>
    <w:rsid w:val="00197D7F"/>
    <w:rsid w:val="001A1042"/>
    <w:rsid w:val="001A2BBE"/>
    <w:rsid w:val="001A4D82"/>
    <w:rsid w:val="001A4E29"/>
    <w:rsid w:val="001A5848"/>
    <w:rsid w:val="001A61F5"/>
    <w:rsid w:val="001A6432"/>
    <w:rsid w:val="001A67E1"/>
    <w:rsid w:val="001A6894"/>
    <w:rsid w:val="001A74AC"/>
    <w:rsid w:val="001A7EE5"/>
    <w:rsid w:val="001B1D91"/>
    <w:rsid w:val="001B22B2"/>
    <w:rsid w:val="001B29E5"/>
    <w:rsid w:val="001B3656"/>
    <w:rsid w:val="001B5861"/>
    <w:rsid w:val="001B5957"/>
    <w:rsid w:val="001B6080"/>
    <w:rsid w:val="001B6706"/>
    <w:rsid w:val="001B6E33"/>
    <w:rsid w:val="001B77DB"/>
    <w:rsid w:val="001C01A4"/>
    <w:rsid w:val="001C032A"/>
    <w:rsid w:val="001C0777"/>
    <w:rsid w:val="001C59EA"/>
    <w:rsid w:val="001C67DC"/>
    <w:rsid w:val="001D047E"/>
    <w:rsid w:val="001D04AE"/>
    <w:rsid w:val="001D0A10"/>
    <w:rsid w:val="001D70E0"/>
    <w:rsid w:val="001D7BBB"/>
    <w:rsid w:val="001E18C9"/>
    <w:rsid w:val="001E30FD"/>
    <w:rsid w:val="001E3C26"/>
    <w:rsid w:val="001E4452"/>
    <w:rsid w:val="001E4569"/>
    <w:rsid w:val="001E52C9"/>
    <w:rsid w:val="001E573B"/>
    <w:rsid w:val="001E699E"/>
    <w:rsid w:val="001E6C9D"/>
    <w:rsid w:val="001E6FBD"/>
    <w:rsid w:val="001E7A8D"/>
    <w:rsid w:val="001F493D"/>
    <w:rsid w:val="001F5A99"/>
    <w:rsid w:val="001F70D0"/>
    <w:rsid w:val="00200822"/>
    <w:rsid w:val="002023CD"/>
    <w:rsid w:val="0020356D"/>
    <w:rsid w:val="002036F5"/>
    <w:rsid w:val="00205099"/>
    <w:rsid w:val="002050B4"/>
    <w:rsid w:val="002051B1"/>
    <w:rsid w:val="00210C0A"/>
    <w:rsid w:val="0021110B"/>
    <w:rsid w:val="00211C4B"/>
    <w:rsid w:val="00212F22"/>
    <w:rsid w:val="0021443E"/>
    <w:rsid w:val="0021583B"/>
    <w:rsid w:val="002159A9"/>
    <w:rsid w:val="00215C9E"/>
    <w:rsid w:val="002205B8"/>
    <w:rsid w:val="00220FFD"/>
    <w:rsid w:val="0022116D"/>
    <w:rsid w:val="00222968"/>
    <w:rsid w:val="00223760"/>
    <w:rsid w:val="0022437D"/>
    <w:rsid w:val="0023009E"/>
    <w:rsid w:val="002302E6"/>
    <w:rsid w:val="0023058F"/>
    <w:rsid w:val="00230AB1"/>
    <w:rsid w:val="0023283F"/>
    <w:rsid w:val="00232967"/>
    <w:rsid w:val="002350EC"/>
    <w:rsid w:val="002355FF"/>
    <w:rsid w:val="00236197"/>
    <w:rsid w:val="00240870"/>
    <w:rsid w:val="00242F80"/>
    <w:rsid w:val="00243912"/>
    <w:rsid w:val="002442A8"/>
    <w:rsid w:val="00245E52"/>
    <w:rsid w:val="00246BDB"/>
    <w:rsid w:val="00247386"/>
    <w:rsid w:val="0025088D"/>
    <w:rsid w:val="00252E41"/>
    <w:rsid w:val="00253512"/>
    <w:rsid w:val="00253825"/>
    <w:rsid w:val="00256144"/>
    <w:rsid w:val="00257888"/>
    <w:rsid w:val="0026009F"/>
    <w:rsid w:val="002603B0"/>
    <w:rsid w:val="00260CDF"/>
    <w:rsid w:val="002614CD"/>
    <w:rsid w:val="00261565"/>
    <w:rsid w:val="0026190F"/>
    <w:rsid w:val="002623F4"/>
    <w:rsid w:val="002631C1"/>
    <w:rsid w:val="00264A31"/>
    <w:rsid w:val="00264CC5"/>
    <w:rsid w:val="00265C61"/>
    <w:rsid w:val="00270637"/>
    <w:rsid w:val="0027218D"/>
    <w:rsid w:val="002722A3"/>
    <w:rsid w:val="0027284A"/>
    <w:rsid w:val="002739FB"/>
    <w:rsid w:val="00274B3B"/>
    <w:rsid w:val="00274E62"/>
    <w:rsid w:val="00274FEE"/>
    <w:rsid w:val="0027553A"/>
    <w:rsid w:val="0027635F"/>
    <w:rsid w:val="00280295"/>
    <w:rsid w:val="002806C4"/>
    <w:rsid w:val="00280FCC"/>
    <w:rsid w:val="00281C56"/>
    <w:rsid w:val="00282918"/>
    <w:rsid w:val="002832BE"/>
    <w:rsid w:val="0028403D"/>
    <w:rsid w:val="00284643"/>
    <w:rsid w:val="00284A4E"/>
    <w:rsid w:val="002850AF"/>
    <w:rsid w:val="00286302"/>
    <w:rsid w:val="002875D3"/>
    <w:rsid w:val="00287727"/>
    <w:rsid w:val="002904EC"/>
    <w:rsid w:val="00290E8E"/>
    <w:rsid w:val="002922A5"/>
    <w:rsid w:val="00292CED"/>
    <w:rsid w:val="00293779"/>
    <w:rsid w:val="00294309"/>
    <w:rsid w:val="00297127"/>
    <w:rsid w:val="00297153"/>
    <w:rsid w:val="002A0313"/>
    <w:rsid w:val="002A1571"/>
    <w:rsid w:val="002A27C6"/>
    <w:rsid w:val="002A3ABC"/>
    <w:rsid w:val="002A3DFB"/>
    <w:rsid w:val="002A5134"/>
    <w:rsid w:val="002A590A"/>
    <w:rsid w:val="002A5A09"/>
    <w:rsid w:val="002A63D7"/>
    <w:rsid w:val="002A67BF"/>
    <w:rsid w:val="002A6868"/>
    <w:rsid w:val="002A6B86"/>
    <w:rsid w:val="002A6E4A"/>
    <w:rsid w:val="002A6F20"/>
    <w:rsid w:val="002A7B1F"/>
    <w:rsid w:val="002B1305"/>
    <w:rsid w:val="002B194A"/>
    <w:rsid w:val="002B28DD"/>
    <w:rsid w:val="002B2EEB"/>
    <w:rsid w:val="002B33D0"/>
    <w:rsid w:val="002B3871"/>
    <w:rsid w:val="002B65FB"/>
    <w:rsid w:val="002B69C3"/>
    <w:rsid w:val="002B79B2"/>
    <w:rsid w:val="002B7CFC"/>
    <w:rsid w:val="002C0149"/>
    <w:rsid w:val="002C0289"/>
    <w:rsid w:val="002C0437"/>
    <w:rsid w:val="002C09F1"/>
    <w:rsid w:val="002C2387"/>
    <w:rsid w:val="002C31DD"/>
    <w:rsid w:val="002C338E"/>
    <w:rsid w:val="002C52BB"/>
    <w:rsid w:val="002C584F"/>
    <w:rsid w:val="002C6E25"/>
    <w:rsid w:val="002C6F8F"/>
    <w:rsid w:val="002C750D"/>
    <w:rsid w:val="002C750F"/>
    <w:rsid w:val="002C77D3"/>
    <w:rsid w:val="002C7AD8"/>
    <w:rsid w:val="002D0667"/>
    <w:rsid w:val="002D1026"/>
    <w:rsid w:val="002D17E1"/>
    <w:rsid w:val="002D1A12"/>
    <w:rsid w:val="002D2821"/>
    <w:rsid w:val="002D2D60"/>
    <w:rsid w:val="002D5FB1"/>
    <w:rsid w:val="002D6E8E"/>
    <w:rsid w:val="002D6EAC"/>
    <w:rsid w:val="002D78D4"/>
    <w:rsid w:val="002D7B31"/>
    <w:rsid w:val="002E10C0"/>
    <w:rsid w:val="002E1B2F"/>
    <w:rsid w:val="002E1D2D"/>
    <w:rsid w:val="002E410D"/>
    <w:rsid w:val="002E42CC"/>
    <w:rsid w:val="002E5E37"/>
    <w:rsid w:val="002E5FDA"/>
    <w:rsid w:val="002E6279"/>
    <w:rsid w:val="002E741F"/>
    <w:rsid w:val="002F03E6"/>
    <w:rsid w:val="002F056D"/>
    <w:rsid w:val="002F14C8"/>
    <w:rsid w:val="002F1AE0"/>
    <w:rsid w:val="002F26DA"/>
    <w:rsid w:val="002F32A6"/>
    <w:rsid w:val="002F3643"/>
    <w:rsid w:val="002F37B1"/>
    <w:rsid w:val="002F488A"/>
    <w:rsid w:val="002F5592"/>
    <w:rsid w:val="002F5910"/>
    <w:rsid w:val="002F5972"/>
    <w:rsid w:val="002F64A6"/>
    <w:rsid w:val="002F7DD7"/>
    <w:rsid w:val="002F7F48"/>
    <w:rsid w:val="0030135A"/>
    <w:rsid w:val="00301A54"/>
    <w:rsid w:val="003031B4"/>
    <w:rsid w:val="00303216"/>
    <w:rsid w:val="00303B7C"/>
    <w:rsid w:val="003047D5"/>
    <w:rsid w:val="00304CD1"/>
    <w:rsid w:val="00305090"/>
    <w:rsid w:val="00305BB8"/>
    <w:rsid w:val="00306E9B"/>
    <w:rsid w:val="00306F3E"/>
    <w:rsid w:val="0030722D"/>
    <w:rsid w:val="0031011A"/>
    <w:rsid w:val="003108A7"/>
    <w:rsid w:val="0031294B"/>
    <w:rsid w:val="00313093"/>
    <w:rsid w:val="003148FF"/>
    <w:rsid w:val="003176A2"/>
    <w:rsid w:val="00317F34"/>
    <w:rsid w:val="00320E58"/>
    <w:rsid w:val="003218B3"/>
    <w:rsid w:val="003226DC"/>
    <w:rsid w:val="003228AB"/>
    <w:rsid w:val="003236BD"/>
    <w:rsid w:val="00324615"/>
    <w:rsid w:val="0032487A"/>
    <w:rsid w:val="00324FDD"/>
    <w:rsid w:val="00325C2F"/>
    <w:rsid w:val="0032707B"/>
    <w:rsid w:val="003276EE"/>
    <w:rsid w:val="0032783C"/>
    <w:rsid w:val="00327997"/>
    <w:rsid w:val="00332B64"/>
    <w:rsid w:val="003339BB"/>
    <w:rsid w:val="003345C4"/>
    <w:rsid w:val="00334653"/>
    <w:rsid w:val="00334E9A"/>
    <w:rsid w:val="0033585E"/>
    <w:rsid w:val="00335B0F"/>
    <w:rsid w:val="00336157"/>
    <w:rsid w:val="00340459"/>
    <w:rsid w:val="00342CF1"/>
    <w:rsid w:val="00343D1E"/>
    <w:rsid w:val="003447A3"/>
    <w:rsid w:val="00344D3E"/>
    <w:rsid w:val="003462B7"/>
    <w:rsid w:val="00350200"/>
    <w:rsid w:val="003505D7"/>
    <w:rsid w:val="00351C82"/>
    <w:rsid w:val="003528CF"/>
    <w:rsid w:val="00353B7A"/>
    <w:rsid w:val="00353BC7"/>
    <w:rsid w:val="003540D4"/>
    <w:rsid w:val="00354447"/>
    <w:rsid w:val="00354B61"/>
    <w:rsid w:val="0035663A"/>
    <w:rsid w:val="00356D2C"/>
    <w:rsid w:val="0036065D"/>
    <w:rsid w:val="003619E5"/>
    <w:rsid w:val="00361BED"/>
    <w:rsid w:val="00361C7B"/>
    <w:rsid w:val="00362932"/>
    <w:rsid w:val="00362BF5"/>
    <w:rsid w:val="003639F8"/>
    <w:rsid w:val="00363C9E"/>
    <w:rsid w:val="003643DC"/>
    <w:rsid w:val="0036460C"/>
    <w:rsid w:val="0036559B"/>
    <w:rsid w:val="00365FE0"/>
    <w:rsid w:val="0036611E"/>
    <w:rsid w:val="003664F5"/>
    <w:rsid w:val="00370987"/>
    <w:rsid w:val="00371857"/>
    <w:rsid w:val="00371CEB"/>
    <w:rsid w:val="00371F47"/>
    <w:rsid w:val="00372796"/>
    <w:rsid w:val="00373DA2"/>
    <w:rsid w:val="00376923"/>
    <w:rsid w:val="00377369"/>
    <w:rsid w:val="00381C55"/>
    <w:rsid w:val="00381F38"/>
    <w:rsid w:val="0038281E"/>
    <w:rsid w:val="00383604"/>
    <w:rsid w:val="00383F8F"/>
    <w:rsid w:val="0038450A"/>
    <w:rsid w:val="00385F15"/>
    <w:rsid w:val="003864B9"/>
    <w:rsid w:val="00386FB5"/>
    <w:rsid w:val="00387017"/>
    <w:rsid w:val="00393049"/>
    <w:rsid w:val="003930DD"/>
    <w:rsid w:val="0039310A"/>
    <w:rsid w:val="00393184"/>
    <w:rsid w:val="00393B0D"/>
    <w:rsid w:val="003957DC"/>
    <w:rsid w:val="00395C6A"/>
    <w:rsid w:val="0039643B"/>
    <w:rsid w:val="003A0B4E"/>
    <w:rsid w:val="003A0F0E"/>
    <w:rsid w:val="003A1F3A"/>
    <w:rsid w:val="003A2BFE"/>
    <w:rsid w:val="003A2D01"/>
    <w:rsid w:val="003A345F"/>
    <w:rsid w:val="003A40FA"/>
    <w:rsid w:val="003A4BF7"/>
    <w:rsid w:val="003A4F29"/>
    <w:rsid w:val="003A6592"/>
    <w:rsid w:val="003A7728"/>
    <w:rsid w:val="003B1676"/>
    <w:rsid w:val="003B3F68"/>
    <w:rsid w:val="003B4947"/>
    <w:rsid w:val="003B5620"/>
    <w:rsid w:val="003B6261"/>
    <w:rsid w:val="003B788B"/>
    <w:rsid w:val="003C2581"/>
    <w:rsid w:val="003C2DDA"/>
    <w:rsid w:val="003C42C6"/>
    <w:rsid w:val="003C42FE"/>
    <w:rsid w:val="003C4982"/>
    <w:rsid w:val="003C5288"/>
    <w:rsid w:val="003C71C3"/>
    <w:rsid w:val="003C72F5"/>
    <w:rsid w:val="003C7F21"/>
    <w:rsid w:val="003D10A5"/>
    <w:rsid w:val="003D1D77"/>
    <w:rsid w:val="003D3598"/>
    <w:rsid w:val="003D3FE3"/>
    <w:rsid w:val="003D466F"/>
    <w:rsid w:val="003D5492"/>
    <w:rsid w:val="003D62CB"/>
    <w:rsid w:val="003D67AE"/>
    <w:rsid w:val="003E0848"/>
    <w:rsid w:val="003E1F9F"/>
    <w:rsid w:val="003E26CF"/>
    <w:rsid w:val="003E3702"/>
    <w:rsid w:val="003E5A56"/>
    <w:rsid w:val="003E5DC5"/>
    <w:rsid w:val="003E7477"/>
    <w:rsid w:val="003F025E"/>
    <w:rsid w:val="003F0C27"/>
    <w:rsid w:val="003F124C"/>
    <w:rsid w:val="003F1267"/>
    <w:rsid w:val="003F1986"/>
    <w:rsid w:val="003F1E09"/>
    <w:rsid w:val="003F3095"/>
    <w:rsid w:val="003F366F"/>
    <w:rsid w:val="003F3694"/>
    <w:rsid w:val="003F4F3D"/>
    <w:rsid w:val="003F5282"/>
    <w:rsid w:val="003F668E"/>
    <w:rsid w:val="00400708"/>
    <w:rsid w:val="004009A0"/>
    <w:rsid w:val="004009C5"/>
    <w:rsid w:val="004009D8"/>
    <w:rsid w:val="00402BC6"/>
    <w:rsid w:val="004030CC"/>
    <w:rsid w:val="0040516F"/>
    <w:rsid w:val="00405F4F"/>
    <w:rsid w:val="00407F17"/>
    <w:rsid w:val="00410444"/>
    <w:rsid w:val="00410FEB"/>
    <w:rsid w:val="0041161F"/>
    <w:rsid w:val="00411932"/>
    <w:rsid w:val="00412985"/>
    <w:rsid w:val="00414483"/>
    <w:rsid w:val="004146B4"/>
    <w:rsid w:val="004147BA"/>
    <w:rsid w:val="00414DD2"/>
    <w:rsid w:val="004153B6"/>
    <w:rsid w:val="00415E9D"/>
    <w:rsid w:val="0041630C"/>
    <w:rsid w:val="00416FBB"/>
    <w:rsid w:val="0041735D"/>
    <w:rsid w:val="0041753B"/>
    <w:rsid w:val="00417CFF"/>
    <w:rsid w:val="00417D05"/>
    <w:rsid w:val="00417E18"/>
    <w:rsid w:val="004200D5"/>
    <w:rsid w:val="00421DBA"/>
    <w:rsid w:val="00422EB7"/>
    <w:rsid w:val="0042414B"/>
    <w:rsid w:val="0042631C"/>
    <w:rsid w:val="004270C0"/>
    <w:rsid w:val="00427D6C"/>
    <w:rsid w:val="00427F2A"/>
    <w:rsid w:val="00427F61"/>
    <w:rsid w:val="0043053A"/>
    <w:rsid w:val="004316F5"/>
    <w:rsid w:val="00432963"/>
    <w:rsid w:val="004349D4"/>
    <w:rsid w:val="00434B68"/>
    <w:rsid w:val="004378E4"/>
    <w:rsid w:val="004401DC"/>
    <w:rsid w:val="00441B65"/>
    <w:rsid w:val="00444479"/>
    <w:rsid w:val="0044463B"/>
    <w:rsid w:val="004453C7"/>
    <w:rsid w:val="004462AD"/>
    <w:rsid w:val="0044676D"/>
    <w:rsid w:val="00446E0A"/>
    <w:rsid w:val="00450C86"/>
    <w:rsid w:val="0045226A"/>
    <w:rsid w:val="00452402"/>
    <w:rsid w:val="004537B1"/>
    <w:rsid w:val="0045455C"/>
    <w:rsid w:val="00455022"/>
    <w:rsid w:val="00455475"/>
    <w:rsid w:val="004560B3"/>
    <w:rsid w:val="00457685"/>
    <w:rsid w:val="004577C5"/>
    <w:rsid w:val="004604BD"/>
    <w:rsid w:val="00461061"/>
    <w:rsid w:val="0046189C"/>
    <w:rsid w:val="004630B1"/>
    <w:rsid w:val="00463A2C"/>
    <w:rsid w:val="00463C8C"/>
    <w:rsid w:val="00470172"/>
    <w:rsid w:val="0047260A"/>
    <w:rsid w:val="0047317C"/>
    <w:rsid w:val="0047421A"/>
    <w:rsid w:val="00474630"/>
    <w:rsid w:val="00475261"/>
    <w:rsid w:val="0047609C"/>
    <w:rsid w:val="00476580"/>
    <w:rsid w:val="00476C2B"/>
    <w:rsid w:val="00480279"/>
    <w:rsid w:val="004804D5"/>
    <w:rsid w:val="00480C3C"/>
    <w:rsid w:val="0048104A"/>
    <w:rsid w:val="0048348A"/>
    <w:rsid w:val="0048417D"/>
    <w:rsid w:val="004844D2"/>
    <w:rsid w:val="0048462F"/>
    <w:rsid w:val="004847E0"/>
    <w:rsid w:val="00485B87"/>
    <w:rsid w:val="00485E82"/>
    <w:rsid w:val="00486F5D"/>
    <w:rsid w:val="00487600"/>
    <w:rsid w:val="00487E5A"/>
    <w:rsid w:val="00490299"/>
    <w:rsid w:val="00490777"/>
    <w:rsid w:val="00490CB5"/>
    <w:rsid w:val="00490F8F"/>
    <w:rsid w:val="00491BE2"/>
    <w:rsid w:val="00491C48"/>
    <w:rsid w:val="00492C35"/>
    <w:rsid w:val="00493785"/>
    <w:rsid w:val="00493853"/>
    <w:rsid w:val="00493A23"/>
    <w:rsid w:val="00493E37"/>
    <w:rsid w:val="0049408B"/>
    <w:rsid w:val="00494E22"/>
    <w:rsid w:val="00494E9C"/>
    <w:rsid w:val="00497059"/>
    <w:rsid w:val="004A03B3"/>
    <w:rsid w:val="004A188B"/>
    <w:rsid w:val="004A3521"/>
    <w:rsid w:val="004A3AAE"/>
    <w:rsid w:val="004A49A2"/>
    <w:rsid w:val="004A559D"/>
    <w:rsid w:val="004B04DF"/>
    <w:rsid w:val="004B0811"/>
    <w:rsid w:val="004B0F8F"/>
    <w:rsid w:val="004B12B9"/>
    <w:rsid w:val="004B2047"/>
    <w:rsid w:val="004B24D2"/>
    <w:rsid w:val="004B2E53"/>
    <w:rsid w:val="004B5C28"/>
    <w:rsid w:val="004B5C40"/>
    <w:rsid w:val="004B7286"/>
    <w:rsid w:val="004B7483"/>
    <w:rsid w:val="004B7BE0"/>
    <w:rsid w:val="004C09EE"/>
    <w:rsid w:val="004C1D14"/>
    <w:rsid w:val="004C2CAE"/>
    <w:rsid w:val="004C52F8"/>
    <w:rsid w:val="004C6294"/>
    <w:rsid w:val="004D0A33"/>
    <w:rsid w:val="004D1C00"/>
    <w:rsid w:val="004D211B"/>
    <w:rsid w:val="004D2128"/>
    <w:rsid w:val="004D274F"/>
    <w:rsid w:val="004D3744"/>
    <w:rsid w:val="004D7A87"/>
    <w:rsid w:val="004E1BB0"/>
    <w:rsid w:val="004E1D61"/>
    <w:rsid w:val="004E2D4E"/>
    <w:rsid w:val="004E5BE6"/>
    <w:rsid w:val="004E6A9C"/>
    <w:rsid w:val="004E7BF5"/>
    <w:rsid w:val="004F0DCB"/>
    <w:rsid w:val="004F25A3"/>
    <w:rsid w:val="004F34D7"/>
    <w:rsid w:val="004F43ED"/>
    <w:rsid w:val="004F635A"/>
    <w:rsid w:val="00501718"/>
    <w:rsid w:val="00501A17"/>
    <w:rsid w:val="00501AE2"/>
    <w:rsid w:val="00501CCA"/>
    <w:rsid w:val="005022C8"/>
    <w:rsid w:val="005032F4"/>
    <w:rsid w:val="0050332F"/>
    <w:rsid w:val="00504F75"/>
    <w:rsid w:val="005056E9"/>
    <w:rsid w:val="00505BB0"/>
    <w:rsid w:val="00507B27"/>
    <w:rsid w:val="00510163"/>
    <w:rsid w:val="0051105D"/>
    <w:rsid w:val="00511787"/>
    <w:rsid w:val="00512BB7"/>
    <w:rsid w:val="0051345F"/>
    <w:rsid w:val="005140AF"/>
    <w:rsid w:val="005141E8"/>
    <w:rsid w:val="005156AB"/>
    <w:rsid w:val="00515A64"/>
    <w:rsid w:val="00515B51"/>
    <w:rsid w:val="005171C7"/>
    <w:rsid w:val="0052017D"/>
    <w:rsid w:val="005205E4"/>
    <w:rsid w:val="00522136"/>
    <w:rsid w:val="00522374"/>
    <w:rsid w:val="005224DD"/>
    <w:rsid w:val="00522CEF"/>
    <w:rsid w:val="005253A2"/>
    <w:rsid w:val="00525770"/>
    <w:rsid w:val="00525ACD"/>
    <w:rsid w:val="00532E55"/>
    <w:rsid w:val="00533893"/>
    <w:rsid w:val="00534698"/>
    <w:rsid w:val="00534E07"/>
    <w:rsid w:val="005354C4"/>
    <w:rsid w:val="00536845"/>
    <w:rsid w:val="00540A8E"/>
    <w:rsid w:val="005421E5"/>
    <w:rsid w:val="00542A93"/>
    <w:rsid w:val="00542DD5"/>
    <w:rsid w:val="0054398B"/>
    <w:rsid w:val="00545221"/>
    <w:rsid w:val="005452B8"/>
    <w:rsid w:val="005455AB"/>
    <w:rsid w:val="00547A41"/>
    <w:rsid w:val="00547F20"/>
    <w:rsid w:val="00547F97"/>
    <w:rsid w:val="005500CB"/>
    <w:rsid w:val="005503A7"/>
    <w:rsid w:val="00551B30"/>
    <w:rsid w:val="00551D80"/>
    <w:rsid w:val="005531DF"/>
    <w:rsid w:val="00553BCD"/>
    <w:rsid w:val="005546A0"/>
    <w:rsid w:val="005548BA"/>
    <w:rsid w:val="00555B8E"/>
    <w:rsid w:val="005561F6"/>
    <w:rsid w:val="00556CD0"/>
    <w:rsid w:val="00556D3C"/>
    <w:rsid w:val="00557A85"/>
    <w:rsid w:val="005644D0"/>
    <w:rsid w:val="0056546E"/>
    <w:rsid w:val="005679D4"/>
    <w:rsid w:val="00567A5C"/>
    <w:rsid w:val="00567D3F"/>
    <w:rsid w:val="00570A8D"/>
    <w:rsid w:val="00571502"/>
    <w:rsid w:val="005732E2"/>
    <w:rsid w:val="00573932"/>
    <w:rsid w:val="00573E22"/>
    <w:rsid w:val="00574A05"/>
    <w:rsid w:val="0057507B"/>
    <w:rsid w:val="00575538"/>
    <w:rsid w:val="00575980"/>
    <w:rsid w:val="00576771"/>
    <w:rsid w:val="00580A3B"/>
    <w:rsid w:val="005824D2"/>
    <w:rsid w:val="00582FE6"/>
    <w:rsid w:val="00584022"/>
    <w:rsid w:val="0058548A"/>
    <w:rsid w:val="0058650C"/>
    <w:rsid w:val="00586FA3"/>
    <w:rsid w:val="0058727D"/>
    <w:rsid w:val="00587468"/>
    <w:rsid w:val="00590FDB"/>
    <w:rsid w:val="00592E3C"/>
    <w:rsid w:val="00593140"/>
    <w:rsid w:val="00594AD5"/>
    <w:rsid w:val="005952BA"/>
    <w:rsid w:val="00595A61"/>
    <w:rsid w:val="00597268"/>
    <w:rsid w:val="005976E5"/>
    <w:rsid w:val="00597832"/>
    <w:rsid w:val="00597F2D"/>
    <w:rsid w:val="005A2F8A"/>
    <w:rsid w:val="005A3860"/>
    <w:rsid w:val="005A50E5"/>
    <w:rsid w:val="005A51D1"/>
    <w:rsid w:val="005A714C"/>
    <w:rsid w:val="005A7AA0"/>
    <w:rsid w:val="005A7B6E"/>
    <w:rsid w:val="005B10F9"/>
    <w:rsid w:val="005B13CD"/>
    <w:rsid w:val="005B1DC7"/>
    <w:rsid w:val="005B269A"/>
    <w:rsid w:val="005B313A"/>
    <w:rsid w:val="005B39BD"/>
    <w:rsid w:val="005B3A98"/>
    <w:rsid w:val="005B5CEE"/>
    <w:rsid w:val="005B67C8"/>
    <w:rsid w:val="005B6AA9"/>
    <w:rsid w:val="005B7A00"/>
    <w:rsid w:val="005B7B89"/>
    <w:rsid w:val="005C03AF"/>
    <w:rsid w:val="005C0BE5"/>
    <w:rsid w:val="005C2609"/>
    <w:rsid w:val="005C260A"/>
    <w:rsid w:val="005C2C62"/>
    <w:rsid w:val="005C338F"/>
    <w:rsid w:val="005C3B14"/>
    <w:rsid w:val="005C528A"/>
    <w:rsid w:val="005C546B"/>
    <w:rsid w:val="005C68F1"/>
    <w:rsid w:val="005C7DDD"/>
    <w:rsid w:val="005D01FB"/>
    <w:rsid w:val="005D0713"/>
    <w:rsid w:val="005D0C18"/>
    <w:rsid w:val="005D0D7A"/>
    <w:rsid w:val="005D1B64"/>
    <w:rsid w:val="005D3533"/>
    <w:rsid w:val="005D3582"/>
    <w:rsid w:val="005D3A78"/>
    <w:rsid w:val="005D4126"/>
    <w:rsid w:val="005D4890"/>
    <w:rsid w:val="005D673F"/>
    <w:rsid w:val="005D7AF3"/>
    <w:rsid w:val="005E0F5F"/>
    <w:rsid w:val="005E10AD"/>
    <w:rsid w:val="005E1A9F"/>
    <w:rsid w:val="005E1B08"/>
    <w:rsid w:val="005E2C12"/>
    <w:rsid w:val="005E39BD"/>
    <w:rsid w:val="005E4286"/>
    <w:rsid w:val="005E4DED"/>
    <w:rsid w:val="005E51EC"/>
    <w:rsid w:val="005E59F3"/>
    <w:rsid w:val="005E5A80"/>
    <w:rsid w:val="005E62E3"/>
    <w:rsid w:val="005E78C3"/>
    <w:rsid w:val="005E7E94"/>
    <w:rsid w:val="005F2469"/>
    <w:rsid w:val="005F2675"/>
    <w:rsid w:val="005F2D1F"/>
    <w:rsid w:val="005F2D46"/>
    <w:rsid w:val="005F3233"/>
    <w:rsid w:val="005F3935"/>
    <w:rsid w:val="005F3ECF"/>
    <w:rsid w:val="005F68DA"/>
    <w:rsid w:val="005F6976"/>
    <w:rsid w:val="005F7228"/>
    <w:rsid w:val="005F78B1"/>
    <w:rsid w:val="005F7E15"/>
    <w:rsid w:val="00605484"/>
    <w:rsid w:val="00605A14"/>
    <w:rsid w:val="00606F71"/>
    <w:rsid w:val="00610B93"/>
    <w:rsid w:val="0061156E"/>
    <w:rsid w:val="006148D2"/>
    <w:rsid w:val="00617DFE"/>
    <w:rsid w:val="00620B55"/>
    <w:rsid w:val="00621E94"/>
    <w:rsid w:val="00622566"/>
    <w:rsid w:val="0062359C"/>
    <w:rsid w:val="0062380C"/>
    <w:rsid w:val="00624748"/>
    <w:rsid w:val="00624A6C"/>
    <w:rsid w:val="0062559D"/>
    <w:rsid w:val="00625B29"/>
    <w:rsid w:val="00625DCE"/>
    <w:rsid w:val="006260D2"/>
    <w:rsid w:val="0062730F"/>
    <w:rsid w:val="006275F6"/>
    <w:rsid w:val="00630098"/>
    <w:rsid w:val="006309EE"/>
    <w:rsid w:val="006315CC"/>
    <w:rsid w:val="00633481"/>
    <w:rsid w:val="00633F44"/>
    <w:rsid w:val="00635CD8"/>
    <w:rsid w:val="00635D53"/>
    <w:rsid w:val="006405F0"/>
    <w:rsid w:val="00643B9E"/>
    <w:rsid w:val="00643FB4"/>
    <w:rsid w:val="00644A93"/>
    <w:rsid w:val="00644BD7"/>
    <w:rsid w:val="00650420"/>
    <w:rsid w:val="00651F43"/>
    <w:rsid w:val="0065521A"/>
    <w:rsid w:val="006576EC"/>
    <w:rsid w:val="0066160C"/>
    <w:rsid w:val="0066172D"/>
    <w:rsid w:val="00661FFD"/>
    <w:rsid w:val="00662512"/>
    <w:rsid w:val="00662F88"/>
    <w:rsid w:val="006634E4"/>
    <w:rsid w:val="00664209"/>
    <w:rsid w:val="0066448F"/>
    <w:rsid w:val="00666126"/>
    <w:rsid w:val="006677E3"/>
    <w:rsid w:val="00667C04"/>
    <w:rsid w:val="00671627"/>
    <w:rsid w:val="0067186D"/>
    <w:rsid w:val="00672722"/>
    <w:rsid w:val="00673190"/>
    <w:rsid w:val="00673585"/>
    <w:rsid w:val="00681ABD"/>
    <w:rsid w:val="00681D1E"/>
    <w:rsid w:val="0068235C"/>
    <w:rsid w:val="00682F0C"/>
    <w:rsid w:val="00683B1B"/>
    <w:rsid w:val="00683B8D"/>
    <w:rsid w:val="00684921"/>
    <w:rsid w:val="00686679"/>
    <w:rsid w:val="00686AAD"/>
    <w:rsid w:val="0068764C"/>
    <w:rsid w:val="00692047"/>
    <w:rsid w:val="00692E07"/>
    <w:rsid w:val="0069311C"/>
    <w:rsid w:val="006932DB"/>
    <w:rsid w:val="00694991"/>
    <w:rsid w:val="00696257"/>
    <w:rsid w:val="00696315"/>
    <w:rsid w:val="0069651E"/>
    <w:rsid w:val="006A0030"/>
    <w:rsid w:val="006A02B1"/>
    <w:rsid w:val="006A1AC0"/>
    <w:rsid w:val="006A2F06"/>
    <w:rsid w:val="006A3D69"/>
    <w:rsid w:val="006A4D61"/>
    <w:rsid w:val="006A734D"/>
    <w:rsid w:val="006B07AE"/>
    <w:rsid w:val="006B089C"/>
    <w:rsid w:val="006B0A05"/>
    <w:rsid w:val="006B1B48"/>
    <w:rsid w:val="006B1CE8"/>
    <w:rsid w:val="006B23EA"/>
    <w:rsid w:val="006B3B81"/>
    <w:rsid w:val="006B3E5B"/>
    <w:rsid w:val="006B6FF4"/>
    <w:rsid w:val="006C0CF7"/>
    <w:rsid w:val="006C121F"/>
    <w:rsid w:val="006C19C1"/>
    <w:rsid w:val="006C2C90"/>
    <w:rsid w:val="006C350F"/>
    <w:rsid w:val="006C526F"/>
    <w:rsid w:val="006C5463"/>
    <w:rsid w:val="006C6626"/>
    <w:rsid w:val="006C6973"/>
    <w:rsid w:val="006C6FEB"/>
    <w:rsid w:val="006D1F7C"/>
    <w:rsid w:val="006D29A8"/>
    <w:rsid w:val="006D30AE"/>
    <w:rsid w:val="006D493F"/>
    <w:rsid w:val="006D5233"/>
    <w:rsid w:val="006D5648"/>
    <w:rsid w:val="006D5A1F"/>
    <w:rsid w:val="006D77CF"/>
    <w:rsid w:val="006D7C38"/>
    <w:rsid w:val="006E033A"/>
    <w:rsid w:val="006E04DE"/>
    <w:rsid w:val="006E08CD"/>
    <w:rsid w:val="006E0E7A"/>
    <w:rsid w:val="006E192E"/>
    <w:rsid w:val="006E41D1"/>
    <w:rsid w:val="006E435E"/>
    <w:rsid w:val="006E6BAF"/>
    <w:rsid w:val="006F04F5"/>
    <w:rsid w:val="006F05E2"/>
    <w:rsid w:val="006F1A35"/>
    <w:rsid w:val="006F460E"/>
    <w:rsid w:val="006F62C0"/>
    <w:rsid w:val="006F6C47"/>
    <w:rsid w:val="006F7607"/>
    <w:rsid w:val="006F764E"/>
    <w:rsid w:val="0070185B"/>
    <w:rsid w:val="00702082"/>
    <w:rsid w:val="007024D1"/>
    <w:rsid w:val="00702952"/>
    <w:rsid w:val="00702D6A"/>
    <w:rsid w:val="00704050"/>
    <w:rsid w:val="00705802"/>
    <w:rsid w:val="0071071B"/>
    <w:rsid w:val="0071157B"/>
    <w:rsid w:val="00712B2A"/>
    <w:rsid w:val="007131EE"/>
    <w:rsid w:val="007136D3"/>
    <w:rsid w:val="007138B6"/>
    <w:rsid w:val="007144F5"/>
    <w:rsid w:val="007149AD"/>
    <w:rsid w:val="00714CA9"/>
    <w:rsid w:val="00716255"/>
    <w:rsid w:val="007169C6"/>
    <w:rsid w:val="007178CA"/>
    <w:rsid w:val="0072038A"/>
    <w:rsid w:val="00722FA6"/>
    <w:rsid w:val="00722FE6"/>
    <w:rsid w:val="00722FF1"/>
    <w:rsid w:val="00723A2F"/>
    <w:rsid w:val="0072403D"/>
    <w:rsid w:val="007273BD"/>
    <w:rsid w:val="00727A4F"/>
    <w:rsid w:val="00727A63"/>
    <w:rsid w:val="00727D51"/>
    <w:rsid w:val="00727D7C"/>
    <w:rsid w:val="0073114A"/>
    <w:rsid w:val="0073261A"/>
    <w:rsid w:val="00733210"/>
    <w:rsid w:val="00736011"/>
    <w:rsid w:val="007361E8"/>
    <w:rsid w:val="00737B0C"/>
    <w:rsid w:val="00740124"/>
    <w:rsid w:val="00740582"/>
    <w:rsid w:val="00740AD4"/>
    <w:rsid w:val="00740BAC"/>
    <w:rsid w:val="00740E93"/>
    <w:rsid w:val="00741395"/>
    <w:rsid w:val="00745A09"/>
    <w:rsid w:val="007461D4"/>
    <w:rsid w:val="007500E8"/>
    <w:rsid w:val="00750F9A"/>
    <w:rsid w:val="00753D2E"/>
    <w:rsid w:val="00753F5E"/>
    <w:rsid w:val="007545A1"/>
    <w:rsid w:val="007548D5"/>
    <w:rsid w:val="0075548B"/>
    <w:rsid w:val="00755584"/>
    <w:rsid w:val="007569DF"/>
    <w:rsid w:val="00763D9C"/>
    <w:rsid w:val="00763E01"/>
    <w:rsid w:val="0076477D"/>
    <w:rsid w:val="00765DDA"/>
    <w:rsid w:val="00766A8B"/>
    <w:rsid w:val="00767106"/>
    <w:rsid w:val="0076742B"/>
    <w:rsid w:val="00771025"/>
    <w:rsid w:val="00772DC7"/>
    <w:rsid w:val="00772FFE"/>
    <w:rsid w:val="00774C7D"/>
    <w:rsid w:val="00776717"/>
    <w:rsid w:val="00776A48"/>
    <w:rsid w:val="007805B8"/>
    <w:rsid w:val="007811F9"/>
    <w:rsid w:val="00781DB9"/>
    <w:rsid w:val="00782CFE"/>
    <w:rsid w:val="00783214"/>
    <w:rsid w:val="007836ED"/>
    <w:rsid w:val="007838EA"/>
    <w:rsid w:val="00783CCE"/>
    <w:rsid w:val="00784F01"/>
    <w:rsid w:val="00786028"/>
    <w:rsid w:val="007865AC"/>
    <w:rsid w:val="007867F0"/>
    <w:rsid w:val="00787F1E"/>
    <w:rsid w:val="00791C92"/>
    <w:rsid w:val="00792292"/>
    <w:rsid w:val="007928BD"/>
    <w:rsid w:val="00795C56"/>
    <w:rsid w:val="0079600F"/>
    <w:rsid w:val="007977DD"/>
    <w:rsid w:val="00797EC5"/>
    <w:rsid w:val="007A0A40"/>
    <w:rsid w:val="007A17CF"/>
    <w:rsid w:val="007A4BB1"/>
    <w:rsid w:val="007A5099"/>
    <w:rsid w:val="007A52FC"/>
    <w:rsid w:val="007A6811"/>
    <w:rsid w:val="007A777C"/>
    <w:rsid w:val="007A7968"/>
    <w:rsid w:val="007B085F"/>
    <w:rsid w:val="007B0C76"/>
    <w:rsid w:val="007B2525"/>
    <w:rsid w:val="007B277D"/>
    <w:rsid w:val="007B2BA3"/>
    <w:rsid w:val="007B3558"/>
    <w:rsid w:val="007B3CAC"/>
    <w:rsid w:val="007B3DFF"/>
    <w:rsid w:val="007B3F70"/>
    <w:rsid w:val="007B3FFB"/>
    <w:rsid w:val="007B74E7"/>
    <w:rsid w:val="007C017E"/>
    <w:rsid w:val="007C0A42"/>
    <w:rsid w:val="007C2FE5"/>
    <w:rsid w:val="007C323E"/>
    <w:rsid w:val="007C4153"/>
    <w:rsid w:val="007C417D"/>
    <w:rsid w:val="007C4333"/>
    <w:rsid w:val="007C5917"/>
    <w:rsid w:val="007C5E2D"/>
    <w:rsid w:val="007D1116"/>
    <w:rsid w:val="007D5057"/>
    <w:rsid w:val="007D576B"/>
    <w:rsid w:val="007E002F"/>
    <w:rsid w:val="007E130A"/>
    <w:rsid w:val="007E1FB8"/>
    <w:rsid w:val="007E48AC"/>
    <w:rsid w:val="007E55C2"/>
    <w:rsid w:val="007E5C50"/>
    <w:rsid w:val="007E70D8"/>
    <w:rsid w:val="007F1128"/>
    <w:rsid w:val="007F1342"/>
    <w:rsid w:val="007F1DB4"/>
    <w:rsid w:val="007F35AB"/>
    <w:rsid w:val="007F39CF"/>
    <w:rsid w:val="007F5BC7"/>
    <w:rsid w:val="007F6BEE"/>
    <w:rsid w:val="007F6C8C"/>
    <w:rsid w:val="008017D8"/>
    <w:rsid w:val="00801A50"/>
    <w:rsid w:val="00801F00"/>
    <w:rsid w:val="00802626"/>
    <w:rsid w:val="00803413"/>
    <w:rsid w:val="00804219"/>
    <w:rsid w:val="0080425E"/>
    <w:rsid w:val="00806DC4"/>
    <w:rsid w:val="00806F35"/>
    <w:rsid w:val="0080721C"/>
    <w:rsid w:val="008103E4"/>
    <w:rsid w:val="008103F2"/>
    <w:rsid w:val="0081060B"/>
    <w:rsid w:val="008113BF"/>
    <w:rsid w:val="008129C3"/>
    <w:rsid w:val="008140C3"/>
    <w:rsid w:val="0081434B"/>
    <w:rsid w:val="00814E59"/>
    <w:rsid w:val="008158C7"/>
    <w:rsid w:val="00816762"/>
    <w:rsid w:val="00817157"/>
    <w:rsid w:val="0081791F"/>
    <w:rsid w:val="00817CAA"/>
    <w:rsid w:val="00817DD0"/>
    <w:rsid w:val="00817DF2"/>
    <w:rsid w:val="008203BB"/>
    <w:rsid w:val="00820721"/>
    <w:rsid w:val="00820E86"/>
    <w:rsid w:val="00820FF1"/>
    <w:rsid w:val="008218C1"/>
    <w:rsid w:val="00823801"/>
    <w:rsid w:val="00823808"/>
    <w:rsid w:val="00824A41"/>
    <w:rsid w:val="00824BD8"/>
    <w:rsid w:val="0082604B"/>
    <w:rsid w:val="00826ED6"/>
    <w:rsid w:val="00827A85"/>
    <w:rsid w:val="00832E91"/>
    <w:rsid w:val="0083353A"/>
    <w:rsid w:val="00834052"/>
    <w:rsid w:val="00834BAD"/>
    <w:rsid w:val="0083591F"/>
    <w:rsid w:val="00835CB2"/>
    <w:rsid w:val="008369F8"/>
    <w:rsid w:val="00836AAD"/>
    <w:rsid w:val="00837943"/>
    <w:rsid w:val="00840F0B"/>
    <w:rsid w:val="008411B6"/>
    <w:rsid w:val="0084260A"/>
    <w:rsid w:val="008435F2"/>
    <w:rsid w:val="00843845"/>
    <w:rsid w:val="00844007"/>
    <w:rsid w:val="008444E6"/>
    <w:rsid w:val="00845233"/>
    <w:rsid w:val="00845EF6"/>
    <w:rsid w:val="008508C3"/>
    <w:rsid w:val="00850A58"/>
    <w:rsid w:val="00850F19"/>
    <w:rsid w:val="00852929"/>
    <w:rsid w:val="00852F28"/>
    <w:rsid w:val="008531E4"/>
    <w:rsid w:val="008553C6"/>
    <w:rsid w:val="008559CE"/>
    <w:rsid w:val="00855A9B"/>
    <w:rsid w:val="00856C3C"/>
    <w:rsid w:val="008603E1"/>
    <w:rsid w:val="00862855"/>
    <w:rsid w:val="00862AF5"/>
    <w:rsid w:val="008660CB"/>
    <w:rsid w:val="00866CB7"/>
    <w:rsid w:val="00866F70"/>
    <w:rsid w:val="008670E4"/>
    <w:rsid w:val="008673ED"/>
    <w:rsid w:val="0086767B"/>
    <w:rsid w:val="008742DB"/>
    <w:rsid w:val="008750E0"/>
    <w:rsid w:val="0087523F"/>
    <w:rsid w:val="0087632C"/>
    <w:rsid w:val="0087648F"/>
    <w:rsid w:val="008772B6"/>
    <w:rsid w:val="00877566"/>
    <w:rsid w:val="0088090E"/>
    <w:rsid w:val="008809BB"/>
    <w:rsid w:val="0088140C"/>
    <w:rsid w:val="0088429E"/>
    <w:rsid w:val="00884E93"/>
    <w:rsid w:val="008851C7"/>
    <w:rsid w:val="0088524F"/>
    <w:rsid w:val="00885B6B"/>
    <w:rsid w:val="00885E9B"/>
    <w:rsid w:val="00886075"/>
    <w:rsid w:val="0088641C"/>
    <w:rsid w:val="00887A0D"/>
    <w:rsid w:val="00891205"/>
    <w:rsid w:val="00891C4F"/>
    <w:rsid w:val="00893175"/>
    <w:rsid w:val="008949AC"/>
    <w:rsid w:val="00894FF6"/>
    <w:rsid w:val="0089530D"/>
    <w:rsid w:val="00895EC2"/>
    <w:rsid w:val="00897FC8"/>
    <w:rsid w:val="008A08C8"/>
    <w:rsid w:val="008A0A30"/>
    <w:rsid w:val="008A26FE"/>
    <w:rsid w:val="008A4AC1"/>
    <w:rsid w:val="008A5E72"/>
    <w:rsid w:val="008A7AC3"/>
    <w:rsid w:val="008A7E89"/>
    <w:rsid w:val="008A7F6D"/>
    <w:rsid w:val="008B1CD6"/>
    <w:rsid w:val="008B1CE6"/>
    <w:rsid w:val="008B3D12"/>
    <w:rsid w:val="008B424E"/>
    <w:rsid w:val="008B42D6"/>
    <w:rsid w:val="008B487F"/>
    <w:rsid w:val="008B52C7"/>
    <w:rsid w:val="008B6157"/>
    <w:rsid w:val="008B735F"/>
    <w:rsid w:val="008B7B0E"/>
    <w:rsid w:val="008B7F7B"/>
    <w:rsid w:val="008C0793"/>
    <w:rsid w:val="008C21C1"/>
    <w:rsid w:val="008C238E"/>
    <w:rsid w:val="008C23E4"/>
    <w:rsid w:val="008C31D9"/>
    <w:rsid w:val="008C3B58"/>
    <w:rsid w:val="008C4617"/>
    <w:rsid w:val="008C4653"/>
    <w:rsid w:val="008C5746"/>
    <w:rsid w:val="008C60BF"/>
    <w:rsid w:val="008C7B20"/>
    <w:rsid w:val="008D0361"/>
    <w:rsid w:val="008D0BFD"/>
    <w:rsid w:val="008D0DBD"/>
    <w:rsid w:val="008D0E7B"/>
    <w:rsid w:val="008D0EB7"/>
    <w:rsid w:val="008D16A5"/>
    <w:rsid w:val="008D1B74"/>
    <w:rsid w:val="008D2730"/>
    <w:rsid w:val="008D280A"/>
    <w:rsid w:val="008D2AA6"/>
    <w:rsid w:val="008D3384"/>
    <w:rsid w:val="008D3719"/>
    <w:rsid w:val="008D50DB"/>
    <w:rsid w:val="008D58B8"/>
    <w:rsid w:val="008D6C8D"/>
    <w:rsid w:val="008D6E72"/>
    <w:rsid w:val="008D727D"/>
    <w:rsid w:val="008D7AA0"/>
    <w:rsid w:val="008E2181"/>
    <w:rsid w:val="008E2491"/>
    <w:rsid w:val="008E2B1C"/>
    <w:rsid w:val="008E448F"/>
    <w:rsid w:val="008E4A2F"/>
    <w:rsid w:val="008E51E9"/>
    <w:rsid w:val="008E52EF"/>
    <w:rsid w:val="008E6632"/>
    <w:rsid w:val="008F0883"/>
    <w:rsid w:val="008F20F5"/>
    <w:rsid w:val="008F2B4B"/>
    <w:rsid w:val="008F31A4"/>
    <w:rsid w:val="008F40F8"/>
    <w:rsid w:val="008F5118"/>
    <w:rsid w:val="008F675A"/>
    <w:rsid w:val="0090012F"/>
    <w:rsid w:val="00900208"/>
    <w:rsid w:val="009006E3"/>
    <w:rsid w:val="00902CB8"/>
    <w:rsid w:val="00903D45"/>
    <w:rsid w:val="009045FD"/>
    <w:rsid w:val="00904644"/>
    <w:rsid w:val="009065A7"/>
    <w:rsid w:val="00906908"/>
    <w:rsid w:val="009077CA"/>
    <w:rsid w:val="009077F7"/>
    <w:rsid w:val="00907B28"/>
    <w:rsid w:val="0091195C"/>
    <w:rsid w:val="00912748"/>
    <w:rsid w:val="00913E9B"/>
    <w:rsid w:val="00913F14"/>
    <w:rsid w:val="00915319"/>
    <w:rsid w:val="00915889"/>
    <w:rsid w:val="00915B89"/>
    <w:rsid w:val="009170FC"/>
    <w:rsid w:val="009172BC"/>
    <w:rsid w:val="00917366"/>
    <w:rsid w:val="00917971"/>
    <w:rsid w:val="009203E2"/>
    <w:rsid w:val="009224E1"/>
    <w:rsid w:val="00922744"/>
    <w:rsid w:val="009229F9"/>
    <w:rsid w:val="0092494D"/>
    <w:rsid w:val="00924F72"/>
    <w:rsid w:val="00925977"/>
    <w:rsid w:val="00926182"/>
    <w:rsid w:val="00926681"/>
    <w:rsid w:val="00927314"/>
    <w:rsid w:val="00931C4B"/>
    <w:rsid w:val="00931CE8"/>
    <w:rsid w:val="00934B2B"/>
    <w:rsid w:val="00935A4A"/>
    <w:rsid w:val="00936D75"/>
    <w:rsid w:val="00937008"/>
    <w:rsid w:val="00937CF6"/>
    <w:rsid w:val="0094089E"/>
    <w:rsid w:val="0094126F"/>
    <w:rsid w:val="009412C9"/>
    <w:rsid w:val="00942816"/>
    <w:rsid w:val="00942F1F"/>
    <w:rsid w:val="0094369A"/>
    <w:rsid w:val="00943960"/>
    <w:rsid w:val="00943A02"/>
    <w:rsid w:val="00943B36"/>
    <w:rsid w:val="00944570"/>
    <w:rsid w:val="00945400"/>
    <w:rsid w:val="00946249"/>
    <w:rsid w:val="00946ABA"/>
    <w:rsid w:val="00946C93"/>
    <w:rsid w:val="00946D4F"/>
    <w:rsid w:val="0094772C"/>
    <w:rsid w:val="00950112"/>
    <w:rsid w:val="009505A8"/>
    <w:rsid w:val="0095119E"/>
    <w:rsid w:val="0095243E"/>
    <w:rsid w:val="00954133"/>
    <w:rsid w:val="00955BC4"/>
    <w:rsid w:val="0095633A"/>
    <w:rsid w:val="00957118"/>
    <w:rsid w:val="00957335"/>
    <w:rsid w:val="00957999"/>
    <w:rsid w:val="00960E42"/>
    <w:rsid w:val="009624BF"/>
    <w:rsid w:val="00962D74"/>
    <w:rsid w:val="00962F52"/>
    <w:rsid w:val="00963853"/>
    <w:rsid w:val="009643D0"/>
    <w:rsid w:val="00964829"/>
    <w:rsid w:val="00965BE7"/>
    <w:rsid w:val="00966977"/>
    <w:rsid w:val="009671BA"/>
    <w:rsid w:val="009674E7"/>
    <w:rsid w:val="00967565"/>
    <w:rsid w:val="00971946"/>
    <w:rsid w:val="00971956"/>
    <w:rsid w:val="009720A0"/>
    <w:rsid w:val="00973514"/>
    <w:rsid w:val="00973C7C"/>
    <w:rsid w:val="00973F6B"/>
    <w:rsid w:val="009742B5"/>
    <w:rsid w:val="00976F88"/>
    <w:rsid w:val="00976F8B"/>
    <w:rsid w:val="00981782"/>
    <w:rsid w:val="009825C1"/>
    <w:rsid w:val="00982A17"/>
    <w:rsid w:val="00983427"/>
    <w:rsid w:val="0098464C"/>
    <w:rsid w:val="0098485E"/>
    <w:rsid w:val="0098491C"/>
    <w:rsid w:val="00986782"/>
    <w:rsid w:val="00990236"/>
    <w:rsid w:val="00992EEC"/>
    <w:rsid w:val="00993564"/>
    <w:rsid w:val="00993E08"/>
    <w:rsid w:val="00995825"/>
    <w:rsid w:val="00996678"/>
    <w:rsid w:val="009968EF"/>
    <w:rsid w:val="00996E97"/>
    <w:rsid w:val="00997128"/>
    <w:rsid w:val="009A0777"/>
    <w:rsid w:val="009A28FA"/>
    <w:rsid w:val="009A3D06"/>
    <w:rsid w:val="009A49A8"/>
    <w:rsid w:val="009A49BC"/>
    <w:rsid w:val="009A522D"/>
    <w:rsid w:val="009A5692"/>
    <w:rsid w:val="009A571A"/>
    <w:rsid w:val="009A57C5"/>
    <w:rsid w:val="009A5C3E"/>
    <w:rsid w:val="009A7E67"/>
    <w:rsid w:val="009B1677"/>
    <w:rsid w:val="009B1743"/>
    <w:rsid w:val="009B283B"/>
    <w:rsid w:val="009B2AF2"/>
    <w:rsid w:val="009B2C5E"/>
    <w:rsid w:val="009B3424"/>
    <w:rsid w:val="009B4B93"/>
    <w:rsid w:val="009B4C36"/>
    <w:rsid w:val="009B6B5D"/>
    <w:rsid w:val="009B7C37"/>
    <w:rsid w:val="009C01D7"/>
    <w:rsid w:val="009C1FFA"/>
    <w:rsid w:val="009C3F18"/>
    <w:rsid w:val="009C579E"/>
    <w:rsid w:val="009C6DA9"/>
    <w:rsid w:val="009C77D4"/>
    <w:rsid w:val="009C7EA0"/>
    <w:rsid w:val="009D0FBF"/>
    <w:rsid w:val="009D185C"/>
    <w:rsid w:val="009D28D5"/>
    <w:rsid w:val="009D2DD0"/>
    <w:rsid w:val="009D39E0"/>
    <w:rsid w:val="009D5960"/>
    <w:rsid w:val="009D7513"/>
    <w:rsid w:val="009E06D8"/>
    <w:rsid w:val="009E1B7D"/>
    <w:rsid w:val="009E2D54"/>
    <w:rsid w:val="009E3BC5"/>
    <w:rsid w:val="009E4468"/>
    <w:rsid w:val="009E51C9"/>
    <w:rsid w:val="009E55FB"/>
    <w:rsid w:val="009E609E"/>
    <w:rsid w:val="009E793F"/>
    <w:rsid w:val="009E7A1B"/>
    <w:rsid w:val="009F0B5D"/>
    <w:rsid w:val="009F119D"/>
    <w:rsid w:val="009F1936"/>
    <w:rsid w:val="009F19C9"/>
    <w:rsid w:val="009F1ECA"/>
    <w:rsid w:val="009F2431"/>
    <w:rsid w:val="009F2590"/>
    <w:rsid w:val="009F2B27"/>
    <w:rsid w:val="009F2E26"/>
    <w:rsid w:val="009F37F4"/>
    <w:rsid w:val="009F4EB0"/>
    <w:rsid w:val="009F575D"/>
    <w:rsid w:val="009F6E26"/>
    <w:rsid w:val="00A0145D"/>
    <w:rsid w:val="00A01A35"/>
    <w:rsid w:val="00A01AF8"/>
    <w:rsid w:val="00A01D8D"/>
    <w:rsid w:val="00A021C2"/>
    <w:rsid w:val="00A02590"/>
    <w:rsid w:val="00A02BC7"/>
    <w:rsid w:val="00A032B7"/>
    <w:rsid w:val="00A034B0"/>
    <w:rsid w:val="00A04058"/>
    <w:rsid w:val="00A047DA"/>
    <w:rsid w:val="00A0636E"/>
    <w:rsid w:val="00A07587"/>
    <w:rsid w:val="00A07ACD"/>
    <w:rsid w:val="00A1115B"/>
    <w:rsid w:val="00A11200"/>
    <w:rsid w:val="00A137B1"/>
    <w:rsid w:val="00A1612E"/>
    <w:rsid w:val="00A174D0"/>
    <w:rsid w:val="00A17D39"/>
    <w:rsid w:val="00A20A60"/>
    <w:rsid w:val="00A222A3"/>
    <w:rsid w:val="00A222A7"/>
    <w:rsid w:val="00A226F7"/>
    <w:rsid w:val="00A23F73"/>
    <w:rsid w:val="00A25041"/>
    <w:rsid w:val="00A25A55"/>
    <w:rsid w:val="00A25B1B"/>
    <w:rsid w:val="00A27CDB"/>
    <w:rsid w:val="00A321F4"/>
    <w:rsid w:val="00A33324"/>
    <w:rsid w:val="00A34571"/>
    <w:rsid w:val="00A34795"/>
    <w:rsid w:val="00A350FF"/>
    <w:rsid w:val="00A37178"/>
    <w:rsid w:val="00A4085C"/>
    <w:rsid w:val="00A409D7"/>
    <w:rsid w:val="00A41151"/>
    <w:rsid w:val="00A42E3B"/>
    <w:rsid w:val="00A42F92"/>
    <w:rsid w:val="00A433A2"/>
    <w:rsid w:val="00A43A18"/>
    <w:rsid w:val="00A44164"/>
    <w:rsid w:val="00A5369D"/>
    <w:rsid w:val="00A53B53"/>
    <w:rsid w:val="00A53D27"/>
    <w:rsid w:val="00A53E34"/>
    <w:rsid w:val="00A54D10"/>
    <w:rsid w:val="00A55C02"/>
    <w:rsid w:val="00A612C5"/>
    <w:rsid w:val="00A61335"/>
    <w:rsid w:val="00A6165F"/>
    <w:rsid w:val="00A6222A"/>
    <w:rsid w:val="00A6246C"/>
    <w:rsid w:val="00A64DC1"/>
    <w:rsid w:val="00A65A4B"/>
    <w:rsid w:val="00A6733D"/>
    <w:rsid w:val="00A70434"/>
    <w:rsid w:val="00A7136C"/>
    <w:rsid w:val="00A72D10"/>
    <w:rsid w:val="00A734C2"/>
    <w:rsid w:val="00A74258"/>
    <w:rsid w:val="00A75C2E"/>
    <w:rsid w:val="00A76EB0"/>
    <w:rsid w:val="00A80697"/>
    <w:rsid w:val="00A817E7"/>
    <w:rsid w:val="00A81987"/>
    <w:rsid w:val="00A82487"/>
    <w:rsid w:val="00A8355F"/>
    <w:rsid w:val="00A85CB9"/>
    <w:rsid w:val="00A866CB"/>
    <w:rsid w:val="00A875A0"/>
    <w:rsid w:val="00A91230"/>
    <w:rsid w:val="00A9284F"/>
    <w:rsid w:val="00A92861"/>
    <w:rsid w:val="00A940BD"/>
    <w:rsid w:val="00A95CDD"/>
    <w:rsid w:val="00A95F8E"/>
    <w:rsid w:val="00A963D9"/>
    <w:rsid w:val="00AA14A9"/>
    <w:rsid w:val="00AA2699"/>
    <w:rsid w:val="00AA62E2"/>
    <w:rsid w:val="00AA68EE"/>
    <w:rsid w:val="00AA6BD1"/>
    <w:rsid w:val="00AA6D51"/>
    <w:rsid w:val="00AB053F"/>
    <w:rsid w:val="00AB17D3"/>
    <w:rsid w:val="00AB20B7"/>
    <w:rsid w:val="00AB3591"/>
    <w:rsid w:val="00AB3D9D"/>
    <w:rsid w:val="00AB3DD4"/>
    <w:rsid w:val="00AB42F9"/>
    <w:rsid w:val="00AB4C0C"/>
    <w:rsid w:val="00AC1640"/>
    <w:rsid w:val="00AC212B"/>
    <w:rsid w:val="00AC2307"/>
    <w:rsid w:val="00AC2C08"/>
    <w:rsid w:val="00AC4764"/>
    <w:rsid w:val="00AC498F"/>
    <w:rsid w:val="00AC52B1"/>
    <w:rsid w:val="00AC5EB0"/>
    <w:rsid w:val="00AC7952"/>
    <w:rsid w:val="00AD0867"/>
    <w:rsid w:val="00AD1337"/>
    <w:rsid w:val="00AD1664"/>
    <w:rsid w:val="00AD2034"/>
    <w:rsid w:val="00AD50EE"/>
    <w:rsid w:val="00AD68A1"/>
    <w:rsid w:val="00AE02D7"/>
    <w:rsid w:val="00AE0379"/>
    <w:rsid w:val="00AE0A1F"/>
    <w:rsid w:val="00AE0D15"/>
    <w:rsid w:val="00AE1874"/>
    <w:rsid w:val="00AE18DF"/>
    <w:rsid w:val="00AE1D7B"/>
    <w:rsid w:val="00AE3934"/>
    <w:rsid w:val="00AE704F"/>
    <w:rsid w:val="00AE7B60"/>
    <w:rsid w:val="00AF1C6C"/>
    <w:rsid w:val="00AF2DD1"/>
    <w:rsid w:val="00AF3491"/>
    <w:rsid w:val="00AF38A7"/>
    <w:rsid w:val="00AF3DD9"/>
    <w:rsid w:val="00AF3FE7"/>
    <w:rsid w:val="00AF45DE"/>
    <w:rsid w:val="00AF578C"/>
    <w:rsid w:val="00AF57E4"/>
    <w:rsid w:val="00AF593A"/>
    <w:rsid w:val="00AF65FB"/>
    <w:rsid w:val="00AF6F26"/>
    <w:rsid w:val="00AF7F00"/>
    <w:rsid w:val="00B020EA"/>
    <w:rsid w:val="00B022B2"/>
    <w:rsid w:val="00B0236E"/>
    <w:rsid w:val="00B03A5B"/>
    <w:rsid w:val="00B03E56"/>
    <w:rsid w:val="00B047B2"/>
    <w:rsid w:val="00B047DF"/>
    <w:rsid w:val="00B05104"/>
    <w:rsid w:val="00B069DA"/>
    <w:rsid w:val="00B06E03"/>
    <w:rsid w:val="00B103A8"/>
    <w:rsid w:val="00B10493"/>
    <w:rsid w:val="00B10D16"/>
    <w:rsid w:val="00B10D67"/>
    <w:rsid w:val="00B11F5A"/>
    <w:rsid w:val="00B125EC"/>
    <w:rsid w:val="00B127C1"/>
    <w:rsid w:val="00B152A9"/>
    <w:rsid w:val="00B1546F"/>
    <w:rsid w:val="00B15745"/>
    <w:rsid w:val="00B15874"/>
    <w:rsid w:val="00B16F20"/>
    <w:rsid w:val="00B2090E"/>
    <w:rsid w:val="00B20980"/>
    <w:rsid w:val="00B214ED"/>
    <w:rsid w:val="00B226B8"/>
    <w:rsid w:val="00B2325B"/>
    <w:rsid w:val="00B23E5B"/>
    <w:rsid w:val="00B25732"/>
    <w:rsid w:val="00B26150"/>
    <w:rsid w:val="00B266F4"/>
    <w:rsid w:val="00B2671F"/>
    <w:rsid w:val="00B319CD"/>
    <w:rsid w:val="00B319F1"/>
    <w:rsid w:val="00B31E9B"/>
    <w:rsid w:val="00B320A3"/>
    <w:rsid w:val="00B344A4"/>
    <w:rsid w:val="00B34797"/>
    <w:rsid w:val="00B34C21"/>
    <w:rsid w:val="00B34F0B"/>
    <w:rsid w:val="00B352AC"/>
    <w:rsid w:val="00B356AE"/>
    <w:rsid w:val="00B35F35"/>
    <w:rsid w:val="00B37AD2"/>
    <w:rsid w:val="00B41788"/>
    <w:rsid w:val="00B41807"/>
    <w:rsid w:val="00B433A2"/>
    <w:rsid w:val="00B444F1"/>
    <w:rsid w:val="00B504DD"/>
    <w:rsid w:val="00B50E54"/>
    <w:rsid w:val="00B5172E"/>
    <w:rsid w:val="00B51AA1"/>
    <w:rsid w:val="00B51FEB"/>
    <w:rsid w:val="00B52283"/>
    <w:rsid w:val="00B53373"/>
    <w:rsid w:val="00B53472"/>
    <w:rsid w:val="00B53D91"/>
    <w:rsid w:val="00B54F58"/>
    <w:rsid w:val="00B55F9D"/>
    <w:rsid w:val="00B56107"/>
    <w:rsid w:val="00B56C7B"/>
    <w:rsid w:val="00B571AE"/>
    <w:rsid w:val="00B57E7D"/>
    <w:rsid w:val="00B60C0E"/>
    <w:rsid w:val="00B60DA3"/>
    <w:rsid w:val="00B61080"/>
    <w:rsid w:val="00B61402"/>
    <w:rsid w:val="00B6267E"/>
    <w:rsid w:val="00B63293"/>
    <w:rsid w:val="00B63356"/>
    <w:rsid w:val="00B63650"/>
    <w:rsid w:val="00B63861"/>
    <w:rsid w:val="00B64F9C"/>
    <w:rsid w:val="00B6602D"/>
    <w:rsid w:val="00B671D3"/>
    <w:rsid w:val="00B674F7"/>
    <w:rsid w:val="00B67F6A"/>
    <w:rsid w:val="00B70454"/>
    <w:rsid w:val="00B70808"/>
    <w:rsid w:val="00B713B2"/>
    <w:rsid w:val="00B71C07"/>
    <w:rsid w:val="00B73B4A"/>
    <w:rsid w:val="00B74325"/>
    <w:rsid w:val="00B74682"/>
    <w:rsid w:val="00B7529E"/>
    <w:rsid w:val="00B75581"/>
    <w:rsid w:val="00B76E2A"/>
    <w:rsid w:val="00B7775B"/>
    <w:rsid w:val="00B7796E"/>
    <w:rsid w:val="00B77B99"/>
    <w:rsid w:val="00B77FF8"/>
    <w:rsid w:val="00B802F8"/>
    <w:rsid w:val="00B805E2"/>
    <w:rsid w:val="00B809F0"/>
    <w:rsid w:val="00B829F1"/>
    <w:rsid w:val="00B8404D"/>
    <w:rsid w:val="00B84834"/>
    <w:rsid w:val="00B84FFB"/>
    <w:rsid w:val="00B8547F"/>
    <w:rsid w:val="00B86C46"/>
    <w:rsid w:val="00B86E54"/>
    <w:rsid w:val="00B86E95"/>
    <w:rsid w:val="00B874B5"/>
    <w:rsid w:val="00B87F7A"/>
    <w:rsid w:val="00B9028D"/>
    <w:rsid w:val="00B91F0F"/>
    <w:rsid w:val="00B93A49"/>
    <w:rsid w:val="00B93E32"/>
    <w:rsid w:val="00B95405"/>
    <w:rsid w:val="00B96365"/>
    <w:rsid w:val="00B9672A"/>
    <w:rsid w:val="00B9713B"/>
    <w:rsid w:val="00B9762A"/>
    <w:rsid w:val="00B97722"/>
    <w:rsid w:val="00B97769"/>
    <w:rsid w:val="00BA061F"/>
    <w:rsid w:val="00BA074F"/>
    <w:rsid w:val="00BA1ED4"/>
    <w:rsid w:val="00BA3CF9"/>
    <w:rsid w:val="00BA4051"/>
    <w:rsid w:val="00BA4F98"/>
    <w:rsid w:val="00BA5380"/>
    <w:rsid w:val="00BA5494"/>
    <w:rsid w:val="00BA54E7"/>
    <w:rsid w:val="00BA5836"/>
    <w:rsid w:val="00BA5C13"/>
    <w:rsid w:val="00BA6A86"/>
    <w:rsid w:val="00BA7AFA"/>
    <w:rsid w:val="00BB0020"/>
    <w:rsid w:val="00BB0389"/>
    <w:rsid w:val="00BB1925"/>
    <w:rsid w:val="00BB195A"/>
    <w:rsid w:val="00BB1DF9"/>
    <w:rsid w:val="00BB3715"/>
    <w:rsid w:val="00BB722B"/>
    <w:rsid w:val="00BB7ED9"/>
    <w:rsid w:val="00BC157B"/>
    <w:rsid w:val="00BC1C55"/>
    <w:rsid w:val="00BC3040"/>
    <w:rsid w:val="00BC3666"/>
    <w:rsid w:val="00BD0047"/>
    <w:rsid w:val="00BD07C4"/>
    <w:rsid w:val="00BD08EC"/>
    <w:rsid w:val="00BD0BE6"/>
    <w:rsid w:val="00BD1411"/>
    <w:rsid w:val="00BD308B"/>
    <w:rsid w:val="00BD3AD4"/>
    <w:rsid w:val="00BD4702"/>
    <w:rsid w:val="00BD5054"/>
    <w:rsid w:val="00BD505C"/>
    <w:rsid w:val="00BD582E"/>
    <w:rsid w:val="00BD5B80"/>
    <w:rsid w:val="00BD6218"/>
    <w:rsid w:val="00BD650F"/>
    <w:rsid w:val="00BD742F"/>
    <w:rsid w:val="00BD777D"/>
    <w:rsid w:val="00BE0127"/>
    <w:rsid w:val="00BE0EF2"/>
    <w:rsid w:val="00BE1650"/>
    <w:rsid w:val="00BE3494"/>
    <w:rsid w:val="00BE4A7B"/>
    <w:rsid w:val="00BE546E"/>
    <w:rsid w:val="00BE56BD"/>
    <w:rsid w:val="00BE7AFB"/>
    <w:rsid w:val="00BF01EC"/>
    <w:rsid w:val="00BF03AB"/>
    <w:rsid w:val="00BF055B"/>
    <w:rsid w:val="00BF176F"/>
    <w:rsid w:val="00BF2986"/>
    <w:rsid w:val="00BF2D44"/>
    <w:rsid w:val="00BF3BF7"/>
    <w:rsid w:val="00BF47AC"/>
    <w:rsid w:val="00BF644B"/>
    <w:rsid w:val="00BF6F2C"/>
    <w:rsid w:val="00BF72F9"/>
    <w:rsid w:val="00C01180"/>
    <w:rsid w:val="00C05551"/>
    <w:rsid w:val="00C05B41"/>
    <w:rsid w:val="00C06409"/>
    <w:rsid w:val="00C06B8E"/>
    <w:rsid w:val="00C10521"/>
    <w:rsid w:val="00C1107A"/>
    <w:rsid w:val="00C11117"/>
    <w:rsid w:val="00C1122A"/>
    <w:rsid w:val="00C112AE"/>
    <w:rsid w:val="00C117DF"/>
    <w:rsid w:val="00C11B42"/>
    <w:rsid w:val="00C12579"/>
    <w:rsid w:val="00C13D71"/>
    <w:rsid w:val="00C1412E"/>
    <w:rsid w:val="00C1551C"/>
    <w:rsid w:val="00C206E3"/>
    <w:rsid w:val="00C21D5E"/>
    <w:rsid w:val="00C22599"/>
    <w:rsid w:val="00C2390A"/>
    <w:rsid w:val="00C23AF2"/>
    <w:rsid w:val="00C25279"/>
    <w:rsid w:val="00C25B27"/>
    <w:rsid w:val="00C25FB3"/>
    <w:rsid w:val="00C306CC"/>
    <w:rsid w:val="00C31A6D"/>
    <w:rsid w:val="00C3280C"/>
    <w:rsid w:val="00C33F2E"/>
    <w:rsid w:val="00C344D1"/>
    <w:rsid w:val="00C35CE0"/>
    <w:rsid w:val="00C371EB"/>
    <w:rsid w:val="00C40076"/>
    <w:rsid w:val="00C41352"/>
    <w:rsid w:val="00C4141F"/>
    <w:rsid w:val="00C41C17"/>
    <w:rsid w:val="00C41CD0"/>
    <w:rsid w:val="00C42410"/>
    <w:rsid w:val="00C42625"/>
    <w:rsid w:val="00C42C57"/>
    <w:rsid w:val="00C43B2D"/>
    <w:rsid w:val="00C46406"/>
    <w:rsid w:val="00C5013E"/>
    <w:rsid w:val="00C52435"/>
    <w:rsid w:val="00C52A0A"/>
    <w:rsid w:val="00C52B79"/>
    <w:rsid w:val="00C52E72"/>
    <w:rsid w:val="00C53270"/>
    <w:rsid w:val="00C56F28"/>
    <w:rsid w:val="00C57776"/>
    <w:rsid w:val="00C57A36"/>
    <w:rsid w:val="00C62864"/>
    <w:rsid w:val="00C655DA"/>
    <w:rsid w:val="00C66E20"/>
    <w:rsid w:val="00C67944"/>
    <w:rsid w:val="00C706F3"/>
    <w:rsid w:val="00C7084A"/>
    <w:rsid w:val="00C716A3"/>
    <w:rsid w:val="00C717E4"/>
    <w:rsid w:val="00C71CEA"/>
    <w:rsid w:val="00C720A7"/>
    <w:rsid w:val="00C724A7"/>
    <w:rsid w:val="00C736D2"/>
    <w:rsid w:val="00C736EB"/>
    <w:rsid w:val="00C75192"/>
    <w:rsid w:val="00C76ACA"/>
    <w:rsid w:val="00C76F01"/>
    <w:rsid w:val="00C76F40"/>
    <w:rsid w:val="00C77FAB"/>
    <w:rsid w:val="00C81288"/>
    <w:rsid w:val="00C812C9"/>
    <w:rsid w:val="00C81361"/>
    <w:rsid w:val="00C8138A"/>
    <w:rsid w:val="00C81696"/>
    <w:rsid w:val="00C838EA"/>
    <w:rsid w:val="00C83B3D"/>
    <w:rsid w:val="00C84505"/>
    <w:rsid w:val="00C8453B"/>
    <w:rsid w:val="00C8486A"/>
    <w:rsid w:val="00C849D4"/>
    <w:rsid w:val="00C84BF8"/>
    <w:rsid w:val="00C85200"/>
    <w:rsid w:val="00C85E1B"/>
    <w:rsid w:val="00C86975"/>
    <w:rsid w:val="00C87B29"/>
    <w:rsid w:val="00C9000D"/>
    <w:rsid w:val="00C91B75"/>
    <w:rsid w:val="00C91EA1"/>
    <w:rsid w:val="00C92002"/>
    <w:rsid w:val="00C925A6"/>
    <w:rsid w:val="00C92B65"/>
    <w:rsid w:val="00C92E26"/>
    <w:rsid w:val="00C9305B"/>
    <w:rsid w:val="00C93D3C"/>
    <w:rsid w:val="00C93E25"/>
    <w:rsid w:val="00C944FA"/>
    <w:rsid w:val="00C95C85"/>
    <w:rsid w:val="00C9659E"/>
    <w:rsid w:val="00C96E77"/>
    <w:rsid w:val="00C97632"/>
    <w:rsid w:val="00C97832"/>
    <w:rsid w:val="00CA0EB6"/>
    <w:rsid w:val="00CA1623"/>
    <w:rsid w:val="00CA2454"/>
    <w:rsid w:val="00CA25AA"/>
    <w:rsid w:val="00CA4680"/>
    <w:rsid w:val="00CA47E0"/>
    <w:rsid w:val="00CA49E9"/>
    <w:rsid w:val="00CA5A8F"/>
    <w:rsid w:val="00CA5BF9"/>
    <w:rsid w:val="00CA614B"/>
    <w:rsid w:val="00CA6D3E"/>
    <w:rsid w:val="00CA751F"/>
    <w:rsid w:val="00CA7AC3"/>
    <w:rsid w:val="00CB088E"/>
    <w:rsid w:val="00CB0F80"/>
    <w:rsid w:val="00CB1383"/>
    <w:rsid w:val="00CB1616"/>
    <w:rsid w:val="00CB1664"/>
    <w:rsid w:val="00CB18F8"/>
    <w:rsid w:val="00CB211B"/>
    <w:rsid w:val="00CB2E0D"/>
    <w:rsid w:val="00CB4499"/>
    <w:rsid w:val="00CB480E"/>
    <w:rsid w:val="00CB62EC"/>
    <w:rsid w:val="00CB6712"/>
    <w:rsid w:val="00CB67AB"/>
    <w:rsid w:val="00CB7E6A"/>
    <w:rsid w:val="00CC14A0"/>
    <w:rsid w:val="00CC1D40"/>
    <w:rsid w:val="00CC267D"/>
    <w:rsid w:val="00CC2FDB"/>
    <w:rsid w:val="00CC344B"/>
    <w:rsid w:val="00CC5A75"/>
    <w:rsid w:val="00CC6619"/>
    <w:rsid w:val="00CD07ED"/>
    <w:rsid w:val="00CD414E"/>
    <w:rsid w:val="00CD49E9"/>
    <w:rsid w:val="00CD5DA1"/>
    <w:rsid w:val="00CD63F1"/>
    <w:rsid w:val="00CD6A3F"/>
    <w:rsid w:val="00CD6FB1"/>
    <w:rsid w:val="00CE0B51"/>
    <w:rsid w:val="00CE2CF9"/>
    <w:rsid w:val="00CE3DC6"/>
    <w:rsid w:val="00CE4FE5"/>
    <w:rsid w:val="00CE5DB1"/>
    <w:rsid w:val="00CE5DCC"/>
    <w:rsid w:val="00CE6196"/>
    <w:rsid w:val="00CE6585"/>
    <w:rsid w:val="00CE6B7C"/>
    <w:rsid w:val="00CE6CE7"/>
    <w:rsid w:val="00CE72C4"/>
    <w:rsid w:val="00CE7528"/>
    <w:rsid w:val="00CE756D"/>
    <w:rsid w:val="00CF00FE"/>
    <w:rsid w:val="00CF0C87"/>
    <w:rsid w:val="00CF1125"/>
    <w:rsid w:val="00CF1B55"/>
    <w:rsid w:val="00CF2358"/>
    <w:rsid w:val="00CF2FA4"/>
    <w:rsid w:val="00CF4872"/>
    <w:rsid w:val="00CF4A46"/>
    <w:rsid w:val="00CF4DD1"/>
    <w:rsid w:val="00CF5958"/>
    <w:rsid w:val="00CF65CB"/>
    <w:rsid w:val="00CF6EB7"/>
    <w:rsid w:val="00CF6F46"/>
    <w:rsid w:val="00CF780F"/>
    <w:rsid w:val="00D01E8A"/>
    <w:rsid w:val="00D023E3"/>
    <w:rsid w:val="00D032CD"/>
    <w:rsid w:val="00D04145"/>
    <w:rsid w:val="00D05342"/>
    <w:rsid w:val="00D05C44"/>
    <w:rsid w:val="00D06E53"/>
    <w:rsid w:val="00D07EFE"/>
    <w:rsid w:val="00D10997"/>
    <w:rsid w:val="00D13293"/>
    <w:rsid w:val="00D14001"/>
    <w:rsid w:val="00D14F4F"/>
    <w:rsid w:val="00D14FF1"/>
    <w:rsid w:val="00D16C02"/>
    <w:rsid w:val="00D20475"/>
    <w:rsid w:val="00D209E1"/>
    <w:rsid w:val="00D2238D"/>
    <w:rsid w:val="00D2256D"/>
    <w:rsid w:val="00D22A47"/>
    <w:rsid w:val="00D250E4"/>
    <w:rsid w:val="00D26014"/>
    <w:rsid w:val="00D26130"/>
    <w:rsid w:val="00D2736E"/>
    <w:rsid w:val="00D2743C"/>
    <w:rsid w:val="00D31D17"/>
    <w:rsid w:val="00D330CD"/>
    <w:rsid w:val="00D33210"/>
    <w:rsid w:val="00D34837"/>
    <w:rsid w:val="00D34B46"/>
    <w:rsid w:val="00D351EF"/>
    <w:rsid w:val="00D37971"/>
    <w:rsid w:val="00D379C4"/>
    <w:rsid w:val="00D42FC6"/>
    <w:rsid w:val="00D43036"/>
    <w:rsid w:val="00D43561"/>
    <w:rsid w:val="00D438CF"/>
    <w:rsid w:val="00D44365"/>
    <w:rsid w:val="00D44808"/>
    <w:rsid w:val="00D45096"/>
    <w:rsid w:val="00D459D1"/>
    <w:rsid w:val="00D46462"/>
    <w:rsid w:val="00D46862"/>
    <w:rsid w:val="00D46AD3"/>
    <w:rsid w:val="00D46F9F"/>
    <w:rsid w:val="00D47916"/>
    <w:rsid w:val="00D502F4"/>
    <w:rsid w:val="00D5072D"/>
    <w:rsid w:val="00D50845"/>
    <w:rsid w:val="00D50887"/>
    <w:rsid w:val="00D5168F"/>
    <w:rsid w:val="00D51742"/>
    <w:rsid w:val="00D5194F"/>
    <w:rsid w:val="00D5215C"/>
    <w:rsid w:val="00D522EE"/>
    <w:rsid w:val="00D52F86"/>
    <w:rsid w:val="00D531D6"/>
    <w:rsid w:val="00D535DF"/>
    <w:rsid w:val="00D53741"/>
    <w:rsid w:val="00D54604"/>
    <w:rsid w:val="00D54DAD"/>
    <w:rsid w:val="00D55D27"/>
    <w:rsid w:val="00D56F1E"/>
    <w:rsid w:val="00D5731C"/>
    <w:rsid w:val="00D578C9"/>
    <w:rsid w:val="00D61C0F"/>
    <w:rsid w:val="00D629E1"/>
    <w:rsid w:val="00D63A6F"/>
    <w:rsid w:val="00D64479"/>
    <w:rsid w:val="00D64786"/>
    <w:rsid w:val="00D64EFB"/>
    <w:rsid w:val="00D70899"/>
    <w:rsid w:val="00D718E7"/>
    <w:rsid w:val="00D727F4"/>
    <w:rsid w:val="00D73434"/>
    <w:rsid w:val="00D74B1A"/>
    <w:rsid w:val="00D752CC"/>
    <w:rsid w:val="00D7639C"/>
    <w:rsid w:val="00D77E8D"/>
    <w:rsid w:val="00D77EB2"/>
    <w:rsid w:val="00D806BB"/>
    <w:rsid w:val="00D8156F"/>
    <w:rsid w:val="00D816C5"/>
    <w:rsid w:val="00D81DDF"/>
    <w:rsid w:val="00D834FC"/>
    <w:rsid w:val="00D8434C"/>
    <w:rsid w:val="00D85056"/>
    <w:rsid w:val="00D85BD3"/>
    <w:rsid w:val="00D85C32"/>
    <w:rsid w:val="00D876F8"/>
    <w:rsid w:val="00D912BF"/>
    <w:rsid w:val="00D93E2B"/>
    <w:rsid w:val="00D93EB9"/>
    <w:rsid w:val="00D951F5"/>
    <w:rsid w:val="00D959A9"/>
    <w:rsid w:val="00DA01B9"/>
    <w:rsid w:val="00DA0516"/>
    <w:rsid w:val="00DA0A1B"/>
    <w:rsid w:val="00DA3DF3"/>
    <w:rsid w:val="00DA4936"/>
    <w:rsid w:val="00DA4B96"/>
    <w:rsid w:val="00DA4BC1"/>
    <w:rsid w:val="00DB0EC8"/>
    <w:rsid w:val="00DB1E0F"/>
    <w:rsid w:val="00DB3420"/>
    <w:rsid w:val="00DB3D93"/>
    <w:rsid w:val="00DB63C6"/>
    <w:rsid w:val="00DB7D57"/>
    <w:rsid w:val="00DB7FFD"/>
    <w:rsid w:val="00DC0BB4"/>
    <w:rsid w:val="00DC1839"/>
    <w:rsid w:val="00DC190C"/>
    <w:rsid w:val="00DC1C34"/>
    <w:rsid w:val="00DC278A"/>
    <w:rsid w:val="00DC2CC8"/>
    <w:rsid w:val="00DC3D8C"/>
    <w:rsid w:val="00DC4816"/>
    <w:rsid w:val="00DC4AC4"/>
    <w:rsid w:val="00DC517F"/>
    <w:rsid w:val="00DC6729"/>
    <w:rsid w:val="00DC716D"/>
    <w:rsid w:val="00DC7D81"/>
    <w:rsid w:val="00DD0421"/>
    <w:rsid w:val="00DD0520"/>
    <w:rsid w:val="00DD0F4B"/>
    <w:rsid w:val="00DD1A8B"/>
    <w:rsid w:val="00DD32CC"/>
    <w:rsid w:val="00DD713B"/>
    <w:rsid w:val="00DD78CC"/>
    <w:rsid w:val="00DD7B87"/>
    <w:rsid w:val="00DE0771"/>
    <w:rsid w:val="00DE19C5"/>
    <w:rsid w:val="00DE5956"/>
    <w:rsid w:val="00DE5F53"/>
    <w:rsid w:val="00DE6670"/>
    <w:rsid w:val="00DE6CA5"/>
    <w:rsid w:val="00DE756E"/>
    <w:rsid w:val="00DE7969"/>
    <w:rsid w:val="00DF1839"/>
    <w:rsid w:val="00DF3656"/>
    <w:rsid w:val="00DF393C"/>
    <w:rsid w:val="00DF5A6B"/>
    <w:rsid w:val="00DF7232"/>
    <w:rsid w:val="00E003EB"/>
    <w:rsid w:val="00E01BE7"/>
    <w:rsid w:val="00E02D03"/>
    <w:rsid w:val="00E034D8"/>
    <w:rsid w:val="00E03B87"/>
    <w:rsid w:val="00E0496E"/>
    <w:rsid w:val="00E04F02"/>
    <w:rsid w:val="00E10029"/>
    <w:rsid w:val="00E100C9"/>
    <w:rsid w:val="00E10A70"/>
    <w:rsid w:val="00E11A27"/>
    <w:rsid w:val="00E11FA9"/>
    <w:rsid w:val="00E1579F"/>
    <w:rsid w:val="00E15878"/>
    <w:rsid w:val="00E17292"/>
    <w:rsid w:val="00E17316"/>
    <w:rsid w:val="00E20000"/>
    <w:rsid w:val="00E2064A"/>
    <w:rsid w:val="00E2098C"/>
    <w:rsid w:val="00E20EFC"/>
    <w:rsid w:val="00E210D4"/>
    <w:rsid w:val="00E22023"/>
    <w:rsid w:val="00E229C2"/>
    <w:rsid w:val="00E22BDD"/>
    <w:rsid w:val="00E23FB6"/>
    <w:rsid w:val="00E25FDA"/>
    <w:rsid w:val="00E27EEE"/>
    <w:rsid w:val="00E30036"/>
    <w:rsid w:val="00E30FA2"/>
    <w:rsid w:val="00E333F2"/>
    <w:rsid w:val="00E33DE0"/>
    <w:rsid w:val="00E33F92"/>
    <w:rsid w:val="00E35007"/>
    <w:rsid w:val="00E35636"/>
    <w:rsid w:val="00E37243"/>
    <w:rsid w:val="00E420A8"/>
    <w:rsid w:val="00E4238A"/>
    <w:rsid w:val="00E4401C"/>
    <w:rsid w:val="00E44400"/>
    <w:rsid w:val="00E463DB"/>
    <w:rsid w:val="00E474EC"/>
    <w:rsid w:val="00E50012"/>
    <w:rsid w:val="00E50079"/>
    <w:rsid w:val="00E512B1"/>
    <w:rsid w:val="00E52438"/>
    <w:rsid w:val="00E53752"/>
    <w:rsid w:val="00E54A73"/>
    <w:rsid w:val="00E54B8D"/>
    <w:rsid w:val="00E54C30"/>
    <w:rsid w:val="00E55C6B"/>
    <w:rsid w:val="00E56529"/>
    <w:rsid w:val="00E5682E"/>
    <w:rsid w:val="00E568D9"/>
    <w:rsid w:val="00E56979"/>
    <w:rsid w:val="00E56E25"/>
    <w:rsid w:val="00E61FB5"/>
    <w:rsid w:val="00E63899"/>
    <w:rsid w:val="00E64127"/>
    <w:rsid w:val="00E65597"/>
    <w:rsid w:val="00E65945"/>
    <w:rsid w:val="00E66F9A"/>
    <w:rsid w:val="00E70403"/>
    <w:rsid w:val="00E70516"/>
    <w:rsid w:val="00E71071"/>
    <w:rsid w:val="00E71606"/>
    <w:rsid w:val="00E71A57"/>
    <w:rsid w:val="00E72487"/>
    <w:rsid w:val="00E75188"/>
    <w:rsid w:val="00E754A9"/>
    <w:rsid w:val="00E75F53"/>
    <w:rsid w:val="00E76453"/>
    <w:rsid w:val="00E76760"/>
    <w:rsid w:val="00E816C7"/>
    <w:rsid w:val="00E82868"/>
    <w:rsid w:val="00E82CDA"/>
    <w:rsid w:val="00E844B9"/>
    <w:rsid w:val="00E85F6C"/>
    <w:rsid w:val="00E860E0"/>
    <w:rsid w:val="00E860EC"/>
    <w:rsid w:val="00E8727E"/>
    <w:rsid w:val="00E87402"/>
    <w:rsid w:val="00E90BB7"/>
    <w:rsid w:val="00E915EF"/>
    <w:rsid w:val="00E91D48"/>
    <w:rsid w:val="00E926DB"/>
    <w:rsid w:val="00E9278E"/>
    <w:rsid w:val="00E92886"/>
    <w:rsid w:val="00E930DD"/>
    <w:rsid w:val="00E9375F"/>
    <w:rsid w:val="00E946AF"/>
    <w:rsid w:val="00E94E15"/>
    <w:rsid w:val="00E954B3"/>
    <w:rsid w:val="00E9559A"/>
    <w:rsid w:val="00EA12E2"/>
    <w:rsid w:val="00EA20FC"/>
    <w:rsid w:val="00EA2416"/>
    <w:rsid w:val="00EA2615"/>
    <w:rsid w:val="00EA26D6"/>
    <w:rsid w:val="00EA4214"/>
    <w:rsid w:val="00EA5448"/>
    <w:rsid w:val="00EA60E9"/>
    <w:rsid w:val="00EA694E"/>
    <w:rsid w:val="00EA6CA7"/>
    <w:rsid w:val="00EA7D8B"/>
    <w:rsid w:val="00EB0520"/>
    <w:rsid w:val="00EB0A7C"/>
    <w:rsid w:val="00EB1364"/>
    <w:rsid w:val="00EB20C6"/>
    <w:rsid w:val="00EB26FE"/>
    <w:rsid w:val="00EB451C"/>
    <w:rsid w:val="00EB4A14"/>
    <w:rsid w:val="00EB4E52"/>
    <w:rsid w:val="00EB5256"/>
    <w:rsid w:val="00EB5A18"/>
    <w:rsid w:val="00EB6678"/>
    <w:rsid w:val="00EB6794"/>
    <w:rsid w:val="00EB6A56"/>
    <w:rsid w:val="00EB7046"/>
    <w:rsid w:val="00EC058E"/>
    <w:rsid w:val="00EC0E52"/>
    <w:rsid w:val="00EC19A1"/>
    <w:rsid w:val="00EC2141"/>
    <w:rsid w:val="00EC2620"/>
    <w:rsid w:val="00EC2734"/>
    <w:rsid w:val="00EC5412"/>
    <w:rsid w:val="00EC5812"/>
    <w:rsid w:val="00EC6A28"/>
    <w:rsid w:val="00EC7A02"/>
    <w:rsid w:val="00EC7DDF"/>
    <w:rsid w:val="00EC7EE7"/>
    <w:rsid w:val="00ED01DA"/>
    <w:rsid w:val="00ED13D7"/>
    <w:rsid w:val="00ED1DB1"/>
    <w:rsid w:val="00ED2204"/>
    <w:rsid w:val="00ED2D58"/>
    <w:rsid w:val="00ED39A7"/>
    <w:rsid w:val="00ED427A"/>
    <w:rsid w:val="00ED4A0C"/>
    <w:rsid w:val="00ED50E5"/>
    <w:rsid w:val="00ED5A32"/>
    <w:rsid w:val="00EE0C2A"/>
    <w:rsid w:val="00EE132E"/>
    <w:rsid w:val="00EE2149"/>
    <w:rsid w:val="00EE2BD8"/>
    <w:rsid w:val="00EE3F29"/>
    <w:rsid w:val="00EE4691"/>
    <w:rsid w:val="00EE47A1"/>
    <w:rsid w:val="00EE5C1C"/>
    <w:rsid w:val="00EE6991"/>
    <w:rsid w:val="00EE6EDD"/>
    <w:rsid w:val="00EF01CB"/>
    <w:rsid w:val="00EF16BD"/>
    <w:rsid w:val="00EF24F8"/>
    <w:rsid w:val="00EF28D4"/>
    <w:rsid w:val="00EF2906"/>
    <w:rsid w:val="00EF3F83"/>
    <w:rsid w:val="00EF44A5"/>
    <w:rsid w:val="00EF58AA"/>
    <w:rsid w:val="00EF5FBF"/>
    <w:rsid w:val="00EF7AC3"/>
    <w:rsid w:val="00F007FD"/>
    <w:rsid w:val="00F0156F"/>
    <w:rsid w:val="00F0186C"/>
    <w:rsid w:val="00F01E7A"/>
    <w:rsid w:val="00F02D4E"/>
    <w:rsid w:val="00F03325"/>
    <w:rsid w:val="00F03526"/>
    <w:rsid w:val="00F03A25"/>
    <w:rsid w:val="00F0680D"/>
    <w:rsid w:val="00F06947"/>
    <w:rsid w:val="00F073DC"/>
    <w:rsid w:val="00F11173"/>
    <w:rsid w:val="00F117C1"/>
    <w:rsid w:val="00F11A25"/>
    <w:rsid w:val="00F137F0"/>
    <w:rsid w:val="00F13E9B"/>
    <w:rsid w:val="00F14079"/>
    <w:rsid w:val="00F14AE4"/>
    <w:rsid w:val="00F151B6"/>
    <w:rsid w:val="00F153FC"/>
    <w:rsid w:val="00F1683E"/>
    <w:rsid w:val="00F174C1"/>
    <w:rsid w:val="00F20E13"/>
    <w:rsid w:val="00F23359"/>
    <w:rsid w:val="00F24D1B"/>
    <w:rsid w:val="00F258F0"/>
    <w:rsid w:val="00F26A77"/>
    <w:rsid w:val="00F272C3"/>
    <w:rsid w:val="00F3006E"/>
    <w:rsid w:val="00F3058B"/>
    <w:rsid w:val="00F32EA9"/>
    <w:rsid w:val="00F3440E"/>
    <w:rsid w:val="00F356A3"/>
    <w:rsid w:val="00F3794F"/>
    <w:rsid w:val="00F400F2"/>
    <w:rsid w:val="00F408EA"/>
    <w:rsid w:val="00F414D6"/>
    <w:rsid w:val="00F4183D"/>
    <w:rsid w:val="00F4228E"/>
    <w:rsid w:val="00F42441"/>
    <w:rsid w:val="00F430B0"/>
    <w:rsid w:val="00F4458E"/>
    <w:rsid w:val="00F45070"/>
    <w:rsid w:val="00F451BA"/>
    <w:rsid w:val="00F47E77"/>
    <w:rsid w:val="00F50570"/>
    <w:rsid w:val="00F50A17"/>
    <w:rsid w:val="00F50FB1"/>
    <w:rsid w:val="00F518F6"/>
    <w:rsid w:val="00F51F58"/>
    <w:rsid w:val="00F5323C"/>
    <w:rsid w:val="00F5411A"/>
    <w:rsid w:val="00F545D4"/>
    <w:rsid w:val="00F55440"/>
    <w:rsid w:val="00F562B1"/>
    <w:rsid w:val="00F57E4E"/>
    <w:rsid w:val="00F57FF8"/>
    <w:rsid w:val="00F61560"/>
    <w:rsid w:val="00F62086"/>
    <w:rsid w:val="00F640CA"/>
    <w:rsid w:val="00F656AC"/>
    <w:rsid w:val="00F672D5"/>
    <w:rsid w:val="00F67BBE"/>
    <w:rsid w:val="00F72677"/>
    <w:rsid w:val="00F76451"/>
    <w:rsid w:val="00F76552"/>
    <w:rsid w:val="00F776D4"/>
    <w:rsid w:val="00F80274"/>
    <w:rsid w:val="00F807CE"/>
    <w:rsid w:val="00F809F9"/>
    <w:rsid w:val="00F82E1D"/>
    <w:rsid w:val="00F831C1"/>
    <w:rsid w:val="00F84088"/>
    <w:rsid w:val="00F855DC"/>
    <w:rsid w:val="00F86C9B"/>
    <w:rsid w:val="00F906C1"/>
    <w:rsid w:val="00F9118A"/>
    <w:rsid w:val="00F91A03"/>
    <w:rsid w:val="00F9423B"/>
    <w:rsid w:val="00F9531B"/>
    <w:rsid w:val="00F96094"/>
    <w:rsid w:val="00F978AD"/>
    <w:rsid w:val="00F978F9"/>
    <w:rsid w:val="00FA2E51"/>
    <w:rsid w:val="00FA2F40"/>
    <w:rsid w:val="00FA3034"/>
    <w:rsid w:val="00FA35CE"/>
    <w:rsid w:val="00FA4DC8"/>
    <w:rsid w:val="00FA4ED4"/>
    <w:rsid w:val="00FA54D3"/>
    <w:rsid w:val="00FA5CDA"/>
    <w:rsid w:val="00FA6572"/>
    <w:rsid w:val="00FA75DE"/>
    <w:rsid w:val="00FB0871"/>
    <w:rsid w:val="00FB0EFB"/>
    <w:rsid w:val="00FB3BB7"/>
    <w:rsid w:val="00FB4AAA"/>
    <w:rsid w:val="00FB4AAF"/>
    <w:rsid w:val="00FB4FB4"/>
    <w:rsid w:val="00FB5EAE"/>
    <w:rsid w:val="00FB6DDD"/>
    <w:rsid w:val="00FB734D"/>
    <w:rsid w:val="00FB7504"/>
    <w:rsid w:val="00FB781F"/>
    <w:rsid w:val="00FC0144"/>
    <w:rsid w:val="00FC0E9B"/>
    <w:rsid w:val="00FC1EC9"/>
    <w:rsid w:val="00FC2E4A"/>
    <w:rsid w:val="00FC2EA1"/>
    <w:rsid w:val="00FC2F1C"/>
    <w:rsid w:val="00FC451C"/>
    <w:rsid w:val="00FC5C3E"/>
    <w:rsid w:val="00FC7294"/>
    <w:rsid w:val="00FD039E"/>
    <w:rsid w:val="00FD0F56"/>
    <w:rsid w:val="00FD0FD2"/>
    <w:rsid w:val="00FD1231"/>
    <w:rsid w:val="00FD1EC8"/>
    <w:rsid w:val="00FD1FE3"/>
    <w:rsid w:val="00FD2476"/>
    <w:rsid w:val="00FD2B2B"/>
    <w:rsid w:val="00FD37D1"/>
    <w:rsid w:val="00FD3ADA"/>
    <w:rsid w:val="00FD43FB"/>
    <w:rsid w:val="00FD63B5"/>
    <w:rsid w:val="00FD7179"/>
    <w:rsid w:val="00FE007E"/>
    <w:rsid w:val="00FE1B0D"/>
    <w:rsid w:val="00FE249A"/>
    <w:rsid w:val="00FE26DE"/>
    <w:rsid w:val="00FE4092"/>
    <w:rsid w:val="00FE4650"/>
    <w:rsid w:val="00FE4B04"/>
    <w:rsid w:val="00FE566E"/>
    <w:rsid w:val="00FE595A"/>
    <w:rsid w:val="00FE6773"/>
    <w:rsid w:val="00FF19E7"/>
    <w:rsid w:val="00FF3CB3"/>
    <w:rsid w:val="00FF4723"/>
    <w:rsid w:val="00FF6106"/>
    <w:rsid w:val="00FF656F"/>
    <w:rsid w:val="00FF7515"/>
    <w:rsid w:val="00FF764D"/>
    <w:rsid w:val="00FF7980"/>
    <w:rsid w:val="0153629D"/>
    <w:rsid w:val="01853EAE"/>
    <w:rsid w:val="01B0056C"/>
    <w:rsid w:val="01EA18B2"/>
    <w:rsid w:val="02EC413B"/>
    <w:rsid w:val="03E20617"/>
    <w:rsid w:val="03EC7D1C"/>
    <w:rsid w:val="041F513B"/>
    <w:rsid w:val="045F60C9"/>
    <w:rsid w:val="046D4459"/>
    <w:rsid w:val="048E59E6"/>
    <w:rsid w:val="049F79E7"/>
    <w:rsid w:val="04A414EE"/>
    <w:rsid w:val="054363C9"/>
    <w:rsid w:val="05916992"/>
    <w:rsid w:val="06031F6A"/>
    <w:rsid w:val="063E4497"/>
    <w:rsid w:val="0675591C"/>
    <w:rsid w:val="07524E18"/>
    <w:rsid w:val="07FB615D"/>
    <w:rsid w:val="08D86B66"/>
    <w:rsid w:val="095115F7"/>
    <w:rsid w:val="0954126E"/>
    <w:rsid w:val="09A1503F"/>
    <w:rsid w:val="0A756EBC"/>
    <w:rsid w:val="0B765162"/>
    <w:rsid w:val="0BB52039"/>
    <w:rsid w:val="0BE5498E"/>
    <w:rsid w:val="0C1F6540"/>
    <w:rsid w:val="0C342203"/>
    <w:rsid w:val="0C914243"/>
    <w:rsid w:val="0D0D5801"/>
    <w:rsid w:val="0D0F27A3"/>
    <w:rsid w:val="0D1914E0"/>
    <w:rsid w:val="0D850118"/>
    <w:rsid w:val="0DA81438"/>
    <w:rsid w:val="0EC8481E"/>
    <w:rsid w:val="0EF10EAF"/>
    <w:rsid w:val="0F1946D2"/>
    <w:rsid w:val="0F407554"/>
    <w:rsid w:val="0F4C7EB7"/>
    <w:rsid w:val="10975F19"/>
    <w:rsid w:val="1237661F"/>
    <w:rsid w:val="125B3355"/>
    <w:rsid w:val="126B58AF"/>
    <w:rsid w:val="1310246C"/>
    <w:rsid w:val="13937F58"/>
    <w:rsid w:val="139B3324"/>
    <w:rsid w:val="142319B0"/>
    <w:rsid w:val="15C7192B"/>
    <w:rsid w:val="15CE436D"/>
    <w:rsid w:val="1770787A"/>
    <w:rsid w:val="17A25956"/>
    <w:rsid w:val="1815505B"/>
    <w:rsid w:val="186212EE"/>
    <w:rsid w:val="188620B3"/>
    <w:rsid w:val="18D55743"/>
    <w:rsid w:val="19101B01"/>
    <w:rsid w:val="191060DD"/>
    <w:rsid w:val="192A1741"/>
    <w:rsid w:val="1A7B4A19"/>
    <w:rsid w:val="1AA10191"/>
    <w:rsid w:val="1ABE4E3E"/>
    <w:rsid w:val="1B7425E8"/>
    <w:rsid w:val="1B966E21"/>
    <w:rsid w:val="1C3C28EE"/>
    <w:rsid w:val="1C8A06FF"/>
    <w:rsid w:val="1C98152A"/>
    <w:rsid w:val="1CC20C5D"/>
    <w:rsid w:val="1CCD4B07"/>
    <w:rsid w:val="1CF613E0"/>
    <w:rsid w:val="1D2A1F46"/>
    <w:rsid w:val="1D996AA7"/>
    <w:rsid w:val="1DA4496E"/>
    <w:rsid w:val="1E5B3D9B"/>
    <w:rsid w:val="1F3A4035"/>
    <w:rsid w:val="1F687CD8"/>
    <w:rsid w:val="1F87371B"/>
    <w:rsid w:val="1FA05005"/>
    <w:rsid w:val="20007628"/>
    <w:rsid w:val="203F696C"/>
    <w:rsid w:val="204237F4"/>
    <w:rsid w:val="20AB03D4"/>
    <w:rsid w:val="20F03429"/>
    <w:rsid w:val="20FE49BC"/>
    <w:rsid w:val="21B60A66"/>
    <w:rsid w:val="221076AB"/>
    <w:rsid w:val="22917021"/>
    <w:rsid w:val="239C47CF"/>
    <w:rsid w:val="23A14F14"/>
    <w:rsid w:val="23B12E59"/>
    <w:rsid w:val="24502D7E"/>
    <w:rsid w:val="24DD312E"/>
    <w:rsid w:val="24DE5F4A"/>
    <w:rsid w:val="25D43B11"/>
    <w:rsid w:val="25DA4712"/>
    <w:rsid w:val="25DA68C6"/>
    <w:rsid w:val="26040218"/>
    <w:rsid w:val="26655E3B"/>
    <w:rsid w:val="28EF6564"/>
    <w:rsid w:val="29AA4A51"/>
    <w:rsid w:val="2ADE71E1"/>
    <w:rsid w:val="2B535705"/>
    <w:rsid w:val="2BBB4221"/>
    <w:rsid w:val="2C554275"/>
    <w:rsid w:val="2DA96651"/>
    <w:rsid w:val="2E7871E7"/>
    <w:rsid w:val="2EA56204"/>
    <w:rsid w:val="2EB832C3"/>
    <w:rsid w:val="2EC21951"/>
    <w:rsid w:val="2EE32AA1"/>
    <w:rsid w:val="2F2607F8"/>
    <w:rsid w:val="2F54509E"/>
    <w:rsid w:val="2FED6237"/>
    <w:rsid w:val="304E382E"/>
    <w:rsid w:val="306B21EE"/>
    <w:rsid w:val="30BC3183"/>
    <w:rsid w:val="315619A6"/>
    <w:rsid w:val="315652B3"/>
    <w:rsid w:val="315A43A9"/>
    <w:rsid w:val="316B1C79"/>
    <w:rsid w:val="319001DC"/>
    <w:rsid w:val="32A80382"/>
    <w:rsid w:val="32F720FF"/>
    <w:rsid w:val="338A457E"/>
    <w:rsid w:val="338D024B"/>
    <w:rsid w:val="33945438"/>
    <w:rsid w:val="347A0968"/>
    <w:rsid w:val="3518789A"/>
    <w:rsid w:val="365A741C"/>
    <w:rsid w:val="366C4D87"/>
    <w:rsid w:val="366F2479"/>
    <w:rsid w:val="36726CD6"/>
    <w:rsid w:val="3760306C"/>
    <w:rsid w:val="37AD363B"/>
    <w:rsid w:val="38B438F2"/>
    <w:rsid w:val="38E206B8"/>
    <w:rsid w:val="39B906E7"/>
    <w:rsid w:val="39CE1BAC"/>
    <w:rsid w:val="39ED194F"/>
    <w:rsid w:val="3A152E50"/>
    <w:rsid w:val="3ABF3E33"/>
    <w:rsid w:val="3ADE5201"/>
    <w:rsid w:val="3BAB794C"/>
    <w:rsid w:val="3C466D0D"/>
    <w:rsid w:val="3D454E40"/>
    <w:rsid w:val="3DA822AD"/>
    <w:rsid w:val="3E424FDA"/>
    <w:rsid w:val="3E8C3974"/>
    <w:rsid w:val="3F286E74"/>
    <w:rsid w:val="3F9102A2"/>
    <w:rsid w:val="413D7ECA"/>
    <w:rsid w:val="427E3502"/>
    <w:rsid w:val="428D7B45"/>
    <w:rsid w:val="432B2EF5"/>
    <w:rsid w:val="43B6487A"/>
    <w:rsid w:val="441E0CB7"/>
    <w:rsid w:val="458B16F3"/>
    <w:rsid w:val="460B46F9"/>
    <w:rsid w:val="46263570"/>
    <w:rsid w:val="464C227E"/>
    <w:rsid w:val="47DA79EA"/>
    <w:rsid w:val="47F04DCD"/>
    <w:rsid w:val="4856361B"/>
    <w:rsid w:val="48575743"/>
    <w:rsid w:val="48A55585"/>
    <w:rsid w:val="48AB4DA3"/>
    <w:rsid w:val="48B3257C"/>
    <w:rsid w:val="49256BBD"/>
    <w:rsid w:val="49B8431F"/>
    <w:rsid w:val="4A455643"/>
    <w:rsid w:val="4AB8517C"/>
    <w:rsid w:val="4AE947CA"/>
    <w:rsid w:val="4B1C6550"/>
    <w:rsid w:val="4B91214B"/>
    <w:rsid w:val="4BE8491C"/>
    <w:rsid w:val="4C9C201B"/>
    <w:rsid w:val="4D0F058A"/>
    <w:rsid w:val="4DD31AA1"/>
    <w:rsid w:val="4E483C19"/>
    <w:rsid w:val="4E9243E4"/>
    <w:rsid w:val="4EE416A2"/>
    <w:rsid w:val="4FBC0B01"/>
    <w:rsid w:val="4FBE4594"/>
    <w:rsid w:val="50C871AB"/>
    <w:rsid w:val="518603ED"/>
    <w:rsid w:val="518C7C7F"/>
    <w:rsid w:val="518E375F"/>
    <w:rsid w:val="51A07371"/>
    <w:rsid w:val="51B33AE8"/>
    <w:rsid w:val="520B2058"/>
    <w:rsid w:val="525C3BB4"/>
    <w:rsid w:val="52C36C58"/>
    <w:rsid w:val="534C6E42"/>
    <w:rsid w:val="534F455C"/>
    <w:rsid w:val="53A92F5C"/>
    <w:rsid w:val="53C50F2B"/>
    <w:rsid w:val="545A6CBC"/>
    <w:rsid w:val="547220B5"/>
    <w:rsid w:val="55821CB6"/>
    <w:rsid w:val="55B41C93"/>
    <w:rsid w:val="56661F8F"/>
    <w:rsid w:val="56874A11"/>
    <w:rsid w:val="56AF23DC"/>
    <w:rsid w:val="56F02D9D"/>
    <w:rsid w:val="57157FBC"/>
    <w:rsid w:val="57756BD7"/>
    <w:rsid w:val="57BC42B4"/>
    <w:rsid w:val="585B059D"/>
    <w:rsid w:val="58634D61"/>
    <w:rsid w:val="58817AEC"/>
    <w:rsid w:val="5885651F"/>
    <w:rsid w:val="58B103A3"/>
    <w:rsid w:val="58D477AB"/>
    <w:rsid w:val="58F85EFD"/>
    <w:rsid w:val="58FD3D42"/>
    <w:rsid w:val="595C161C"/>
    <w:rsid w:val="598A48C0"/>
    <w:rsid w:val="59C80868"/>
    <w:rsid w:val="5A090259"/>
    <w:rsid w:val="5AC159B7"/>
    <w:rsid w:val="5ADF7C2B"/>
    <w:rsid w:val="5B93220C"/>
    <w:rsid w:val="5BA33067"/>
    <w:rsid w:val="5C2450B5"/>
    <w:rsid w:val="5D072254"/>
    <w:rsid w:val="5DA04946"/>
    <w:rsid w:val="5DAB6F57"/>
    <w:rsid w:val="5E0B0912"/>
    <w:rsid w:val="5E9530CF"/>
    <w:rsid w:val="5EBA4C51"/>
    <w:rsid w:val="5F2A5059"/>
    <w:rsid w:val="5F2B195F"/>
    <w:rsid w:val="5F993EDB"/>
    <w:rsid w:val="60724790"/>
    <w:rsid w:val="60C43183"/>
    <w:rsid w:val="611C3D36"/>
    <w:rsid w:val="617A05C8"/>
    <w:rsid w:val="61A54CA4"/>
    <w:rsid w:val="61A84853"/>
    <w:rsid w:val="6248047E"/>
    <w:rsid w:val="624B04B2"/>
    <w:rsid w:val="62636701"/>
    <w:rsid w:val="628E2481"/>
    <w:rsid w:val="62C02D05"/>
    <w:rsid w:val="633A1632"/>
    <w:rsid w:val="654E67E4"/>
    <w:rsid w:val="664A2776"/>
    <w:rsid w:val="66CF4118"/>
    <w:rsid w:val="67195D41"/>
    <w:rsid w:val="67B342DD"/>
    <w:rsid w:val="67D8590E"/>
    <w:rsid w:val="685A0BB2"/>
    <w:rsid w:val="6893784D"/>
    <w:rsid w:val="68BD5CFC"/>
    <w:rsid w:val="68DF6DD2"/>
    <w:rsid w:val="69582774"/>
    <w:rsid w:val="69B875FD"/>
    <w:rsid w:val="69C22B1A"/>
    <w:rsid w:val="6A41738B"/>
    <w:rsid w:val="6B2B6EA1"/>
    <w:rsid w:val="6B680877"/>
    <w:rsid w:val="6C755C79"/>
    <w:rsid w:val="6E3D30F1"/>
    <w:rsid w:val="6E81269E"/>
    <w:rsid w:val="6EF05C9F"/>
    <w:rsid w:val="6F5307BE"/>
    <w:rsid w:val="6F5B01F5"/>
    <w:rsid w:val="7035510A"/>
    <w:rsid w:val="71436346"/>
    <w:rsid w:val="714412EC"/>
    <w:rsid w:val="71AB0A6A"/>
    <w:rsid w:val="72186908"/>
    <w:rsid w:val="725D7213"/>
    <w:rsid w:val="7343685C"/>
    <w:rsid w:val="73EF17CE"/>
    <w:rsid w:val="74061B86"/>
    <w:rsid w:val="741F0C2B"/>
    <w:rsid w:val="744B720C"/>
    <w:rsid w:val="748B1258"/>
    <w:rsid w:val="74DB4E83"/>
    <w:rsid w:val="75046CA8"/>
    <w:rsid w:val="752B0031"/>
    <w:rsid w:val="753720AC"/>
    <w:rsid w:val="755A6334"/>
    <w:rsid w:val="76280DB4"/>
    <w:rsid w:val="775816DB"/>
    <w:rsid w:val="778D21D4"/>
    <w:rsid w:val="78273AE3"/>
    <w:rsid w:val="789C7BCB"/>
    <w:rsid w:val="78EE6787"/>
    <w:rsid w:val="78FE2F24"/>
    <w:rsid w:val="79201325"/>
    <w:rsid w:val="7953377C"/>
    <w:rsid w:val="79993D62"/>
    <w:rsid w:val="7A225C88"/>
    <w:rsid w:val="7A2E5C2C"/>
    <w:rsid w:val="7B336BCB"/>
    <w:rsid w:val="7B640A94"/>
    <w:rsid w:val="7BE829E9"/>
    <w:rsid w:val="7C3644ED"/>
    <w:rsid w:val="7CAA2924"/>
    <w:rsid w:val="7CC47CF6"/>
    <w:rsid w:val="7D752734"/>
    <w:rsid w:val="7D986329"/>
    <w:rsid w:val="7DAD6BFE"/>
    <w:rsid w:val="7DD01A43"/>
    <w:rsid w:val="7E1C054B"/>
    <w:rsid w:val="7E4F701A"/>
    <w:rsid w:val="7F0E1C61"/>
    <w:rsid w:val="7F5F440F"/>
    <w:rsid w:val="7F651B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iPriority="39" w:name="toc 3"/>
    <w:lsdException w:uiPriority="39" w:name="toc 4"/>
    <w:lsdException w:uiPriority="39" w:name="toc 5"/>
    <w:lsdException w:uiPriority="39" w:name="toc 6"/>
    <w:lsdException w:uiPriority="39" w:name="toc 7"/>
    <w:lsdException w:qFormat="1" w:uiPriority="39" w:semiHidden="0"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8"/>
    <w:qFormat/>
    <w:uiPriority w:val="99"/>
    <w:pPr>
      <w:keepNext/>
      <w:keepLines/>
      <w:numPr>
        <w:ilvl w:val="0"/>
        <w:numId w:val="1"/>
      </w:numPr>
      <w:spacing w:before="340" w:after="330" w:line="578" w:lineRule="auto"/>
      <w:jc w:val="center"/>
      <w:outlineLvl w:val="0"/>
    </w:pPr>
    <w:rPr>
      <w:b/>
      <w:bCs/>
      <w:kern w:val="44"/>
      <w:sz w:val="36"/>
      <w:szCs w:val="36"/>
    </w:rPr>
  </w:style>
  <w:style w:type="paragraph" w:styleId="2">
    <w:name w:val="heading 2"/>
    <w:basedOn w:val="1"/>
    <w:next w:val="1"/>
    <w:link w:val="39"/>
    <w:qFormat/>
    <w:uiPriority w:val="99"/>
    <w:pPr>
      <w:keepNext/>
      <w:keepLines/>
      <w:numPr>
        <w:ilvl w:val="1"/>
        <w:numId w:val="1"/>
      </w:numPr>
      <w:spacing w:before="260" w:after="260" w:line="415" w:lineRule="auto"/>
      <w:jc w:val="center"/>
      <w:outlineLvl w:val="1"/>
    </w:pPr>
    <w:rPr>
      <w:rFonts w:ascii="CG Times" w:hAnsi="CG Times" w:cs="CG Times"/>
      <w:b/>
      <w:bCs/>
      <w:sz w:val="30"/>
      <w:szCs w:val="30"/>
    </w:rPr>
  </w:style>
  <w:style w:type="paragraph" w:styleId="4">
    <w:name w:val="heading 3"/>
    <w:basedOn w:val="1"/>
    <w:next w:val="5"/>
    <w:link w:val="36"/>
    <w:qFormat/>
    <w:uiPriority w:val="99"/>
    <w:pPr>
      <w:keepNext/>
      <w:keepLines/>
      <w:numPr>
        <w:ilvl w:val="0"/>
        <w:numId w:val="2"/>
      </w:numPr>
      <w:tabs>
        <w:tab w:val="left" w:pos="5852"/>
      </w:tabs>
      <w:snapToGrid w:val="0"/>
      <w:spacing w:before="360" w:line="240" w:lineRule="exact"/>
      <w:outlineLvl w:val="2"/>
    </w:pPr>
    <w:rPr>
      <w:b/>
      <w:bCs/>
      <w:sz w:val="28"/>
      <w:szCs w:val="28"/>
    </w:rPr>
  </w:style>
  <w:style w:type="paragraph" w:styleId="6">
    <w:name w:val="heading 4"/>
    <w:basedOn w:val="1"/>
    <w:next w:val="5"/>
    <w:link w:val="40"/>
    <w:qFormat/>
    <w:uiPriority w:val="99"/>
    <w:pPr>
      <w:keepNext/>
      <w:keepLines/>
      <w:numPr>
        <w:ilvl w:val="0"/>
        <w:numId w:val="3"/>
      </w:numPr>
      <w:spacing w:before="360" w:line="240" w:lineRule="exact"/>
      <w:outlineLvl w:val="3"/>
    </w:pPr>
    <w:rPr>
      <w:rFonts w:ascii="宋体" w:cs="宋体"/>
      <w:b/>
      <w:bCs/>
      <w:sz w:val="28"/>
      <w:szCs w:val="28"/>
    </w:rPr>
  </w:style>
  <w:style w:type="paragraph" w:styleId="7">
    <w:name w:val="heading 5"/>
    <w:basedOn w:val="1"/>
    <w:next w:val="5"/>
    <w:link w:val="41"/>
    <w:qFormat/>
    <w:uiPriority w:val="99"/>
    <w:pPr>
      <w:keepNext/>
      <w:keepLines/>
      <w:numPr>
        <w:ilvl w:val="4"/>
        <w:numId w:val="1"/>
      </w:numPr>
      <w:spacing w:before="280" w:after="290" w:line="376" w:lineRule="auto"/>
      <w:outlineLvl w:val="4"/>
    </w:pPr>
    <w:rPr>
      <w:b/>
      <w:bCs/>
      <w:sz w:val="28"/>
      <w:szCs w:val="28"/>
    </w:rPr>
  </w:style>
  <w:style w:type="paragraph" w:styleId="8">
    <w:name w:val="heading 6"/>
    <w:basedOn w:val="1"/>
    <w:next w:val="5"/>
    <w:link w:val="42"/>
    <w:qFormat/>
    <w:uiPriority w:val="99"/>
    <w:pPr>
      <w:keepNext/>
      <w:keepLines/>
      <w:numPr>
        <w:ilvl w:val="5"/>
        <w:numId w:val="1"/>
      </w:numPr>
      <w:spacing w:before="240" w:after="64" w:line="320" w:lineRule="auto"/>
      <w:outlineLvl w:val="5"/>
    </w:pPr>
    <w:rPr>
      <w:rFonts w:ascii="Arial" w:hAnsi="Arial" w:eastAsia="黑体" w:cs="Arial"/>
      <w:b/>
      <w:bCs/>
      <w:sz w:val="24"/>
      <w:szCs w:val="24"/>
    </w:rPr>
  </w:style>
  <w:style w:type="paragraph" w:styleId="9">
    <w:name w:val="heading 7"/>
    <w:basedOn w:val="1"/>
    <w:next w:val="5"/>
    <w:link w:val="43"/>
    <w:qFormat/>
    <w:uiPriority w:val="99"/>
    <w:pPr>
      <w:keepNext/>
      <w:keepLines/>
      <w:numPr>
        <w:ilvl w:val="6"/>
        <w:numId w:val="1"/>
      </w:numPr>
      <w:spacing w:before="240" w:after="64" w:line="320" w:lineRule="auto"/>
      <w:outlineLvl w:val="6"/>
    </w:pPr>
    <w:rPr>
      <w:b/>
      <w:bCs/>
      <w:sz w:val="24"/>
      <w:szCs w:val="24"/>
    </w:rPr>
  </w:style>
  <w:style w:type="paragraph" w:styleId="10">
    <w:name w:val="heading 8"/>
    <w:basedOn w:val="1"/>
    <w:next w:val="5"/>
    <w:link w:val="44"/>
    <w:qFormat/>
    <w:uiPriority w:val="99"/>
    <w:pPr>
      <w:keepNext/>
      <w:keepLines/>
      <w:numPr>
        <w:ilvl w:val="7"/>
        <w:numId w:val="1"/>
      </w:numPr>
      <w:spacing w:before="240" w:after="64" w:line="320" w:lineRule="auto"/>
      <w:outlineLvl w:val="7"/>
    </w:pPr>
    <w:rPr>
      <w:rFonts w:ascii="Arial" w:hAnsi="Arial" w:eastAsia="黑体" w:cs="Arial"/>
      <w:sz w:val="24"/>
      <w:szCs w:val="24"/>
    </w:rPr>
  </w:style>
  <w:style w:type="paragraph" w:styleId="11">
    <w:name w:val="heading 9"/>
    <w:basedOn w:val="1"/>
    <w:next w:val="5"/>
    <w:link w:val="45"/>
    <w:qFormat/>
    <w:uiPriority w:val="99"/>
    <w:pPr>
      <w:keepNext/>
      <w:keepLines/>
      <w:numPr>
        <w:ilvl w:val="8"/>
        <w:numId w:val="1"/>
      </w:numPr>
      <w:spacing w:before="240" w:after="64" w:line="320" w:lineRule="auto"/>
      <w:outlineLvl w:val="8"/>
    </w:pPr>
    <w:rPr>
      <w:rFonts w:ascii="Arial" w:hAnsi="Arial" w:eastAsia="黑体" w:cs="Arial"/>
    </w:rPr>
  </w:style>
  <w:style w:type="character" w:default="1" w:styleId="31">
    <w:name w:val="Default Paragraph Font"/>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styleId="5">
    <w:name w:val="Normal Indent"/>
    <w:basedOn w:val="1"/>
    <w:link w:val="95"/>
    <w:qFormat/>
    <w:uiPriority w:val="99"/>
    <w:pPr>
      <w:ind w:firstLine="420"/>
    </w:pPr>
  </w:style>
  <w:style w:type="paragraph" w:styleId="12">
    <w:name w:val="Document Map"/>
    <w:basedOn w:val="1"/>
    <w:link w:val="48"/>
    <w:semiHidden/>
    <w:qFormat/>
    <w:uiPriority w:val="99"/>
    <w:pPr>
      <w:shd w:val="clear" w:color="auto" w:fill="000080"/>
    </w:pPr>
  </w:style>
  <w:style w:type="paragraph" w:styleId="13">
    <w:name w:val="annotation text"/>
    <w:basedOn w:val="1"/>
    <w:link w:val="49"/>
    <w:qFormat/>
    <w:uiPriority w:val="0"/>
    <w:pPr>
      <w:jc w:val="left"/>
    </w:pPr>
  </w:style>
  <w:style w:type="paragraph" w:styleId="14">
    <w:name w:val="Body Text"/>
    <w:basedOn w:val="1"/>
    <w:next w:val="1"/>
    <w:link w:val="46"/>
    <w:qFormat/>
    <w:uiPriority w:val="99"/>
    <w:pPr>
      <w:spacing w:line="380" w:lineRule="exact"/>
    </w:pPr>
    <w:rPr>
      <w:sz w:val="24"/>
      <w:szCs w:val="24"/>
    </w:rPr>
  </w:style>
  <w:style w:type="paragraph" w:styleId="15">
    <w:name w:val="Body Text Indent"/>
    <w:basedOn w:val="1"/>
    <w:link w:val="50"/>
    <w:qFormat/>
    <w:uiPriority w:val="99"/>
    <w:pPr>
      <w:spacing w:after="120"/>
      <w:ind w:left="420" w:leftChars="200"/>
    </w:pPr>
  </w:style>
  <w:style w:type="paragraph" w:styleId="16">
    <w:name w:val="Plain Text"/>
    <w:basedOn w:val="1"/>
    <w:link w:val="51"/>
    <w:qFormat/>
    <w:uiPriority w:val="99"/>
    <w:rPr>
      <w:rFonts w:ascii="宋体" w:hAnsi="Courier New" w:cs="宋体"/>
    </w:rPr>
  </w:style>
  <w:style w:type="paragraph" w:styleId="17">
    <w:name w:val="toc 8"/>
    <w:basedOn w:val="1"/>
    <w:next w:val="1"/>
    <w:unhideWhenUsed/>
    <w:qFormat/>
    <w:uiPriority w:val="39"/>
    <w:pPr>
      <w:ind w:left="1470"/>
      <w:jc w:val="left"/>
    </w:pPr>
    <w:rPr>
      <w:rFonts w:ascii="Calibri" w:hAnsi="Calibri"/>
      <w:sz w:val="18"/>
      <w:szCs w:val="18"/>
    </w:rPr>
  </w:style>
  <w:style w:type="paragraph" w:styleId="18">
    <w:name w:val="Date"/>
    <w:basedOn w:val="1"/>
    <w:next w:val="1"/>
    <w:link w:val="52"/>
    <w:qFormat/>
    <w:uiPriority w:val="99"/>
    <w:pPr>
      <w:ind w:left="100" w:leftChars="2500"/>
    </w:pPr>
  </w:style>
  <w:style w:type="paragraph" w:styleId="19">
    <w:name w:val="Balloon Text"/>
    <w:basedOn w:val="1"/>
    <w:link w:val="53"/>
    <w:semiHidden/>
    <w:qFormat/>
    <w:uiPriority w:val="99"/>
    <w:rPr>
      <w:sz w:val="18"/>
      <w:szCs w:val="18"/>
    </w:rPr>
  </w:style>
  <w:style w:type="paragraph" w:styleId="20">
    <w:name w:val="footer"/>
    <w:basedOn w:val="1"/>
    <w:link w:val="54"/>
    <w:qFormat/>
    <w:uiPriority w:val="99"/>
    <w:pPr>
      <w:tabs>
        <w:tab w:val="center" w:pos="4153"/>
        <w:tab w:val="right" w:pos="8306"/>
      </w:tabs>
      <w:snapToGrid w:val="0"/>
      <w:jc w:val="left"/>
    </w:pPr>
    <w:rPr>
      <w:sz w:val="18"/>
      <w:szCs w:val="18"/>
    </w:rPr>
  </w:style>
  <w:style w:type="paragraph" w:styleId="21">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99"/>
  </w:style>
  <w:style w:type="paragraph" w:styleId="23">
    <w:name w:val="toc 2"/>
    <w:basedOn w:val="1"/>
    <w:next w:val="1"/>
    <w:semiHidden/>
    <w:qFormat/>
    <w:uiPriority w:val="99"/>
    <w:pPr>
      <w:ind w:left="420" w:leftChars="200"/>
    </w:pPr>
  </w:style>
  <w:style w:type="paragraph" w:styleId="24">
    <w:name w:val="Body Text 2"/>
    <w:basedOn w:val="1"/>
    <w:link w:val="56"/>
    <w:qFormat/>
    <w:uiPriority w:val="99"/>
    <w:pPr>
      <w:spacing w:after="120" w:line="480" w:lineRule="auto"/>
    </w:p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index 1"/>
    <w:basedOn w:val="1"/>
    <w:next w:val="1"/>
    <w:semiHidden/>
    <w:qFormat/>
    <w:uiPriority w:val="99"/>
    <w:pPr>
      <w:spacing w:line="360" w:lineRule="auto"/>
      <w:ind w:firstLine="354" w:firstLineChars="147"/>
    </w:pPr>
    <w:rPr>
      <w:b/>
      <w:bCs/>
      <w:sz w:val="24"/>
      <w:szCs w:val="24"/>
    </w:rPr>
  </w:style>
  <w:style w:type="paragraph" w:styleId="27">
    <w:name w:val="annotation subject"/>
    <w:basedOn w:val="13"/>
    <w:next w:val="13"/>
    <w:link w:val="57"/>
    <w:semiHidden/>
    <w:qFormat/>
    <w:uiPriority w:val="99"/>
    <w:rPr>
      <w:b/>
      <w:bCs/>
    </w:rPr>
  </w:style>
  <w:style w:type="paragraph" w:styleId="28">
    <w:name w:val="Body Text First Indent"/>
    <w:basedOn w:val="14"/>
    <w:link w:val="47"/>
    <w:qFormat/>
    <w:uiPriority w:val="99"/>
    <w:pPr>
      <w:spacing w:after="120" w:line="240" w:lineRule="auto"/>
      <w:ind w:firstLine="420" w:firstLineChars="100"/>
    </w:pPr>
    <w:rPr>
      <w:kern w:val="0"/>
      <w:sz w:val="20"/>
      <w:szCs w:val="20"/>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99"/>
    <w:rPr>
      <w:b/>
      <w:bCs/>
    </w:rPr>
  </w:style>
  <w:style w:type="character" w:styleId="33">
    <w:name w:val="page number"/>
    <w:basedOn w:val="31"/>
    <w:qFormat/>
    <w:uiPriority w:val="99"/>
  </w:style>
  <w:style w:type="character" w:styleId="34">
    <w:name w:val="Hyperlink"/>
    <w:basedOn w:val="31"/>
    <w:qFormat/>
    <w:uiPriority w:val="99"/>
    <w:rPr>
      <w:color w:val="0000FF"/>
      <w:u w:val="single"/>
    </w:rPr>
  </w:style>
  <w:style w:type="character" w:styleId="35">
    <w:name w:val="annotation reference"/>
    <w:basedOn w:val="31"/>
    <w:semiHidden/>
    <w:qFormat/>
    <w:uiPriority w:val="99"/>
    <w:rPr>
      <w:sz w:val="21"/>
      <w:szCs w:val="21"/>
    </w:rPr>
  </w:style>
  <w:style w:type="character" w:customStyle="1" w:styleId="36">
    <w:name w:val="标题 3 Char"/>
    <w:basedOn w:val="31"/>
    <w:link w:val="4"/>
    <w:semiHidden/>
    <w:qFormat/>
    <w:uiPriority w:val="9"/>
    <w:rPr>
      <w:b/>
      <w:bCs/>
      <w:sz w:val="32"/>
      <w:szCs w:val="32"/>
    </w:rPr>
  </w:style>
  <w:style w:type="paragraph" w:customStyle="1" w:styleId="37">
    <w:name w:val="Fließtext"/>
    <w:basedOn w:val="1"/>
    <w:qFormat/>
    <w:uiPriority w:val="0"/>
    <w:pPr>
      <w:overflowPunct w:val="0"/>
      <w:autoSpaceDE w:val="0"/>
      <w:autoSpaceDN w:val="0"/>
      <w:adjustRightInd w:val="0"/>
      <w:textAlignment w:val="baseline"/>
    </w:pPr>
    <w:rPr>
      <w:kern w:val="28"/>
      <w:szCs w:val="20"/>
    </w:rPr>
  </w:style>
  <w:style w:type="character" w:customStyle="1" w:styleId="38">
    <w:name w:val="标题 1 Char"/>
    <w:basedOn w:val="31"/>
    <w:link w:val="3"/>
    <w:qFormat/>
    <w:locked/>
    <w:uiPriority w:val="99"/>
    <w:rPr>
      <w:rFonts w:ascii="Times New Roman" w:hAnsi="Times New Roman" w:eastAsia="宋体" w:cs="Times New Roman"/>
      <w:b/>
      <w:bCs/>
      <w:kern w:val="44"/>
      <w:sz w:val="20"/>
      <w:szCs w:val="20"/>
    </w:rPr>
  </w:style>
  <w:style w:type="character" w:customStyle="1" w:styleId="39">
    <w:name w:val="标题 2 Char"/>
    <w:basedOn w:val="31"/>
    <w:link w:val="2"/>
    <w:qFormat/>
    <w:locked/>
    <w:uiPriority w:val="99"/>
    <w:rPr>
      <w:rFonts w:ascii="CG Times" w:hAnsi="CG Times" w:eastAsia="宋体" w:cs="CG Times"/>
      <w:b/>
      <w:bCs/>
      <w:kern w:val="2"/>
      <w:sz w:val="30"/>
      <w:szCs w:val="30"/>
    </w:rPr>
  </w:style>
  <w:style w:type="character" w:customStyle="1" w:styleId="40">
    <w:name w:val="标题 4 Char"/>
    <w:basedOn w:val="31"/>
    <w:link w:val="6"/>
    <w:semiHidden/>
    <w:qFormat/>
    <w:uiPriority w:val="9"/>
    <w:rPr>
      <w:rFonts w:ascii="Cambria" w:hAnsi="Cambria" w:eastAsia="宋体" w:cs="Times New Roman"/>
      <w:b/>
      <w:bCs/>
      <w:sz w:val="28"/>
      <w:szCs w:val="28"/>
    </w:rPr>
  </w:style>
  <w:style w:type="character" w:customStyle="1" w:styleId="41">
    <w:name w:val="标题 5 Char"/>
    <w:basedOn w:val="31"/>
    <w:link w:val="7"/>
    <w:semiHidden/>
    <w:qFormat/>
    <w:uiPriority w:val="9"/>
    <w:rPr>
      <w:b/>
      <w:bCs/>
      <w:sz w:val="28"/>
      <w:szCs w:val="28"/>
    </w:rPr>
  </w:style>
  <w:style w:type="character" w:customStyle="1" w:styleId="42">
    <w:name w:val="标题 6 Char"/>
    <w:basedOn w:val="31"/>
    <w:link w:val="8"/>
    <w:semiHidden/>
    <w:qFormat/>
    <w:uiPriority w:val="9"/>
    <w:rPr>
      <w:rFonts w:ascii="Cambria" w:hAnsi="Cambria" w:eastAsia="宋体" w:cs="Times New Roman"/>
      <w:b/>
      <w:bCs/>
      <w:sz w:val="24"/>
      <w:szCs w:val="24"/>
    </w:rPr>
  </w:style>
  <w:style w:type="character" w:customStyle="1" w:styleId="43">
    <w:name w:val="标题 7 Char"/>
    <w:basedOn w:val="31"/>
    <w:link w:val="9"/>
    <w:semiHidden/>
    <w:qFormat/>
    <w:uiPriority w:val="9"/>
    <w:rPr>
      <w:b/>
      <w:bCs/>
      <w:sz w:val="24"/>
      <w:szCs w:val="24"/>
    </w:rPr>
  </w:style>
  <w:style w:type="character" w:customStyle="1" w:styleId="44">
    <w:name w:val="标题 8 Char"/>
    <w:basedOn w:val="31"/>
    <w:link w:val="10"/>
    <w:semiHidden/>
    <w:qFormat/>
    <w:uiPriority w:val="9"/>
    <w:rPr>
      <w:rFonts w:ascii="Cambria" w:hAnsi="Cambria" w:eastAsia="宋体" w:cs="Times New Roman"/>
      <w:sz w:val="24"/>
      <w:szCs w:val="24"/>
    </w:rPr>
  </w:style>
  <w:style w:type="character" w:customStyle="1" w:styleId="45">
    <w:name w:val="标题 9 Char"/>
    <w:basedOn w:val="31"/>
    <w:link w:val="11"/>
    <w:semiHidden/>
    <w:qFormat/>
    <w:uiPriority w:val="9"/>
    <w:rPr>
      <w:rFonts w:ascii="Cambria" w:hAnsi="Cambria" w:eastAsia="宋体" w:cs="Times New Roman"/>
      <w:szCs w:val="21"/>
    </w:rPr>
  </w:style>
  <w:style w:type="character" w:customStyle="1" w:styleId="46">
    <w:name w:val="正文文本 Char"/>
    <w:basedOn w:val="31"/>
    <w:link w:val="14"/>
    <w:semiHidden/>
    <w:qFormat/>
    <w:uiPriority w:val="99"/>
    <w:rPr>
      <w:szCs w:val="21"/>
    </w:rPr>
  </w:style>
  <w:style w:type="character" w:customStyle="1" w:styleId="47">
    <w:name w:val="正文首行缩进 Char"/>
    <w:basedOn w:val="46"/>
    <w:link w:val="28"/>
    <w:semiHidden/>
    <w:qFormat/>
    <w:uiPriority w:val="99"/>
    <w:rPr>
      <w:szCs w:val="21"/>
    </w:rPr>
  </w:style>
  <w:style w:type="character" w:customStyle="1" w:styleId="48">
    <w:name w:val="文档结构图 Char"/>
    <w:basedOn w:val="31"/>
    <w:link w:val="12"/>
    <w:semiHidden/>
    <w:qFormat/>
    <w:uiPriority w:val="99"/>
    <w:rPr>
      <w:sz w:val="0"/>
      <w:szCs w:val="0"/>
    </w:rPr>
  </w:style>
  <w:style w:type="character" w:customStyle="1" w:styleId="49">
    <w:name w:val="批注文字 Char"/>
    <w:basedOn w:val="31"/>
    <w:link w:val="13"/>
    <w:qFormat/>
    <w:locked/>
    <w:uiPriority w:val="0"/>
    <w:rPr>
      <w:kern w:val="2"/>
      <w:sz w:val="24"/>
      <w:szCs w:val="24"/>
    </w:rPr>
  </w:style>
  <w:style w:type="character" w:customStyle="1" w:styleId="50">
    <w:name w:val="正文文本缩进 Char"/>
    <w:basedOn w:val="31"/>
    <w:link w:val="15"/>
    <w:semiHidden/>
    <w:qFormat/>
    <w:uiPriority w:val="99"/>
    <w:rPr>
      <w:szCs w:val="21"/>
    </w:rPr>
  </w:style>
  <w:style w:type="character" w:customStyle="1" w:styleId="51">
    <w:name w:val="纯文本 Char"/>
    <w:basedOn w:val="31"/>
    <w:link w:val="16"/>
    <w:qFormat/>
    <w:locked/>
    <w:uiPriority w:val="99"/>
    <w:rPr>
      <w:rFonts w:ascii="宋体" w:hAnsi="Courier New" w:eastAsia="宋体" w:cs="宋体"/>
      <w:kern w:val="2"/>
      <w:sz w:val="21"/>
      <w:szCs w:val="21"/>
      <w:lang w:val="en-US" w:eastAsia="zh-CN"/>
    </w:rPr>
  </w:style>
  <w:style w:type="character" w:customStyle="1" w:styleId="52">
    <w:name w:val="日期 Char"/>
    <w:basedOn w:val="31"/>
    <w:link w:val="18"/>
    <w:semiHidden/>
    <w:qFormat/>
    <w:uiPriority w:val="99"/>
    <w:rPr>
      <w:szCs w:val="21"/>
    </w:rPr>
  </w:style>
  <w:style w:type="character" w:customStyle="1" w:styleId="53">
    <w:name w:val="批注框文本 Char"/>
    <w:basedOn w:val="31"/>
    <w:link w:val="19"/>
    <w:semiHidden/>
    <w:qFormat/>
    <w:uiPriority w:val="99"/>
    <w:rPr>
      <w:sz w:val="0"/>
      <w:szCs w:val="0"/>
    </w:rPr>
  </w:style>
  <w:style w:type="character" w:customStyle="1" w:styleId="54">
    <w:name w:val="页脚 Char"/>
    <w:basedOn w:val="31"/>
    <w:link w:val="20"/>
    <w:semiHidden/>
    <w:qFormat/>
    <w:uiPriority w:val="99"/>
    <w:rPr>
      <w:sz w:val="18"/>
      <w:szCs w:val="18"/>
    </w:rPr>
  </w:style>
  <w:style w:type="character" w:customStyle="1" w:styleId="55">
    <w:name w:val="页眉 Char"/>
    <w:basedOn w:val="31"/>
    <w:link w:val="21"/>
    <w:semiHidden/>
    <w:qFormat/>
    <w:uiPriority w:val="99"/>
    <w:rPr>
      <w:sz w:val="18"/>
      <w:szCs w:val="18"/>
    </w:rPr>
  </w:style>
  <w:style w:type="character" w:customStyle="1" w:styleId="56">
    <w:name w:val="正文文本 2 Char"/>
    <w:basedOn w:val="31"/>
    <w:link w:val="24"/>
    <w:qFormat/>
    <w:locked/>
    <w:uiPriority w:val="99"/>
    <w:rPr>
      <w:rFonts w:eastAsia="宋体"/>
      <w:kern w:val="2"/>
      <w:sz w:val="24"/>
      <w:szCs w:val="24"/>
      <w:lang w:val="en-US" w:eastAsia="zh-CN"/>
    </w:rPr>
  </w:style>
  <w:style w:type="character" w:customStyle="1" w:styleId="57">
    <w:name w:val="批注主题 Char"/>
    <w:basedOn w:val="49"/>
    <w:link w:val="27"/>
    <w:qFormat/>
    <w:locked/>
    <w:uiPriority w:val="99"/>
    <w:rPr>
      <w:b/>
      <w:bCs/>
      <w:kern w:val="2"/>
      <w:sz w:val="24"/>
      <w:szCs w:val="24"/>
    </w:rPr>
  </w:style>
  <w:style w:type="paragraph" w:customStyle="1" w:styleId="58">
    <w:name w:val="xl78"/>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59">
    <w:name w:val="标3"/>
    <w:basedOn w:val="1"/>
    <w:qFormat/>
    <w:uiPriority w:val="99"/>
    <w:pPr>
      <w:numPr>
        <w:ilvl w:val="2"/>
        <w:numId w:val="4"/>
      </w:numPr>
      <w:adjustRightInd w:val="0"/>
      <w:snapToGrid w:val="0"/>
      <w:spacing w:before="50"/>
      <w:outlineLvl w:val="2"/>
    </w:pPr>
    <w:rPr>
      <w:rFonts w:ascii="Arial Narrow" w:hAnsi="Arial Narrow" w:eastAsia="仿宋_GB2312" w:cs="Arial Narrow"/>
      <w:sz w:val="28"/>
      <w:szCs w:val="28"/>
    </w:rPr>
  </w:style>
  <w:style w:type="paragraph" w:customStyle="1" w:styleId="60">
    <w:name w:val="xl29"/>
    <w:basedOn w:val="1"/>
    <w:qFormat/>
    <w:uiPriority w:val="99"/>
    <w:pPr>
      <w:widowControl/>
      <w:spacing w:before="100" w:beforeAutospacing="1" w:after="100" w:afterAutospacing="1"/>
      <w:jc w:val="center"/>
    </w:pPr>
    <w:rPr>
      <w:rFonts w:ascii="宋体" w:hAnsi="宋体" w:cs="宋体"/>
      <w:kern w:val="0"/>
      <w:sz w:val="28"/>
      <w:szCs w:val="28"/>
    </w:rPr>
  </w:style>
  <w:style w:type="paragraph" w:customStyle="1" w:styleId="61">
    <w:name w:val="Char1"/>
    <w:basedOn w:val="1"/>
    <w:qFormat/>
    <w:uiPriority w:val="99"/>
    <w:rPr>
      <w:rFonts w:ascii="Tahoma" w:hAnsi="Tahoma" w:cs="Tahoma"/>
      <w:sz w:val="24"/>
      <w:szCs w:val="24"/>
    </w:rPr>
  </w:style>
  <w:style w:type="paragraph" w:customStyle="1" w:styleId="62">
    <w:name w:val="正文0"/>
    <w:basedOn w:val="1"/>
    <w:qFormat/>
    <w:uiPriority w:val="99"/>
    <w:pPr>
      <w:autoSpaceDE w:val="0"/>
      <w:autoSpaceDN w:val="0"/>
      <w:adjustRightInd w:val="0"/>
      <w:spacing w:before="240" w:after="60" w:line="360" w:lineRule="atLeast"/>
    </w:pPr>
    <w:rPr>
      <w:b/>
      <w:bCs/>
      <w:kern w:val="0"/>
      <w:sz w:val="24"/>
      <w:szCs w:val="24"/>
    </w:rPr>
  </w:style>
  <w:style w:type="paragraph" w:customStyle="1" w:styleId="6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5">
    <w:name w:val="xl63"/>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6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7">
    <w:name w:val="xl81"/>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6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9">
    <w:name w:val="Char Char Char Char Char Char Char"/>
    <w:basedOn w:val="1"/>
    <w:qFormat/>
    <w:uiPriority w:val="99"/>
    <w:rPr>
      <w:rFonts w:ascii="仿宋_GB2312" w:eastAsia="仿宋_GB2312" w:cs="仿宋_GB2312"/>
      <w:b/>
      <w:bCs/>
      <w:sz w:val="32"/>
      <w:szCs w:val="32"/>
    </w:rPr>
  </w:style>
  <w:style w:type="paragraph" w:customStyle="1" w:styleId="7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2">
    <w:name w:val="xl83"/>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3">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4">
    <w:name w:val="xl80"/>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7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7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7">
    <w:name w:val="Char"/>
    <w:basedOn w:val="1"/>
    <w:qFormat/>
    <w:uiPriority w:val="99"/>
    <w:rPr>
      <w:rFonts w:ascii="Tahoma" w:hAnsi="Tahoma" w:cs="Tahoma"/>
      <w:sz w:val="24"/>
      <w:szCs w:val="24"/>
    </w:rPr>
  </w:style>
  <w:style w:type="paragraph" w:customStyle="1" w:styleId="78">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9">
    <w:name w:val="xl79"/>
    <w:basedOn w:val="1"/>
    <w:qFormat/>
    <w:uiPriority w:val="99"/>
    <w:pPr>
      <w:widowControl/>
      <w:pBdr>
        <w:top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80">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2">
    <w:name w:val="xl82"/>
    <w:basedOn w:val="1"/>
    <w:qFormat/>
    <w:uiPriority w:val="99"/>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83">
    <w:name w:val="Default Paragraph Font Para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4">
    <w:name w:val="正文2"/>
    <w:basedOn w:val="1"/>
    <w:qFormat/>
    <w:uiPriority w:val="99"/>
    <w:pPr>
      <w:spacing w:before="156" w:line="360" w:lineRule="auto"/>
      <w:ind w:firstLine="510"/>
    </w:pPr>
    <w:rPr>
      <w:color w:val="000000"/>
      <w:kern w:val="1"/>
      <w:sz w:val="24"/>
      <w:szCs w:val="24"/>
    </w:rPr>
  </w:style>
  <w:style w:type="paragraph" w:customStyle="1" w:styleId="85">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7">
    <w:name w:val="纯文本_5"/>
    <w:basedOn w:val="1"/>
    <w:qFormat/>
    <w:uiPriority w:val="99"/>
    <w:rPr>
      <w:rFonts w:ascii="宋体" w:hAnsi="Courier New" w:cs="宋体"/>
    </w:rPr>
  </w:style>
  <w:style w:type="paragraph" w:customStyle="1" w:styleId="88">
    <w:name w:val="样式1"/>
    <w:basedOn w:val="3"/>
    <w:qFormat/>
    <w:uiPriority w:val="99"/>
    <w:pPr>
      <w:spacing w:line="240" w:lineRule="atLeast"/>
    </w:pPr>
    <w:rPr>
      <w:b w:val="0"/>
      <w:bCs w:val="0"/>
    </w:rPr>
  </w:style>
  <w:style w:type="paragraph" w:customStyle="1" w:styleId="89">
    <w:name w:val="Char Char Char Char Char Char Char Char Char Char"/>
    <w:basedOn w:val="1"/>
    <w:qFormat/>
    <w:uiPriority w:val="99"/>
    <w:pPr>
      <w:adjustRightInd w:val="0"/>
      <w:spacing w:line="360" w:lineRule="auto"/>
    </w:pPr>
    <w:rPr>
      <w:kern w:val="0"/>
      <w:sz w:val="24"/>
      <w:szCs w:val="24"/>
    </w:rPr>
  </w:style>
  <w:style w:type="paragraph" w:customStyle="1" w:styleId="90">
    <w:name w:val="正文3"/>
    <w:basedOn w:val="1"/>
    <w:link w:val="94"/>
    <w:qFormat/>
    <w:uiPriority w:val="99"/>
    <w:pPr>
      <w:spacing w:line="360" w:lineRule="auto"/>
      <w:ind w:firstLine="200" w:firstLineChars="200"/>
    </w:pPr>
    <w:rPr>
      <w:sz w:val="24"/>
      <w:szCs w:val="24"/>
    </w:rPr>
  </w:style>
  <w:style w:type="paragraph" w:customStyle="1" w:styleId="91">
    <w:name w:val="样式3"/>
    <w:basedOn w:val="16"/>
    <w:qFormat/>
    <w:uiPriority w:val="99"/>
    <w:pPr>
      <w:spacing w:line="240" w:lineRule="atLeast"/>
      <w:outlineLvl w:val="0"/>
    </w:pPr>
    <w:rPr>
      <w:sz w:val="28"/>
      <w:szCs w:val="28"/>
    </w:rPr>
  </w:style>
  <w:style w:type="paragraph" w:customStyle="1" w:styleId="92">
    <w:name w:val="WPSOffice手动目录 1"/>
    <w:qFormat/>
    <w:uiPriority w:val="99"/>
    <w:rPr>
      <w:rFonts w:ascii="Times New Roman" w:hAnsi="Times New Roman" w:eastAsia="宋体" w:cs="Times New Roman"/>
      <w:lang w:val="en-US" w:eastAsia="zh-CN" w:bidi="ar-SA"/>
    </w:rPr>
  </w:style>
  <w:style w:type="paragraph" w:customStyle="1" w:styleId="93">
    <w:name w:val="WPSOffice手动目录 2"/>
    <w:qFormat/>
    <w:uiPriority w:val="99"/>
    <w:pPr>
      <w:ind w:left="200" w:leftChars="200"/>
    </w:pPr>
    <w:rPr>
      <w:rFonts w:ascii="Times New Roman" w:hAnsi="Times New Roman" w:eastAsia="宋体" w:cs="Times New Roman"/>
      <w:lang w:val="en-US" w:eastAsia="zh-CN" w:bidi="ar-SA"/>
    </w:rPr>
  </w:style>
  <w:style w:type="character" w:customStyle="1" w:styleId="94">
    <w:name w:val="正文3 Char"/>
    <w:link w:val="90"/>
    <w:qFormat/>
    <w:locked/>
    <w:uiPriority w:val="99"/>
    <w:rPr>
      <w:kern w:val="2"/>
      <w:sz w:val="24"/>
      <w:szCs w:val="24"/>
    </w:rPr>
  </w:style>
  <w:style w:type="character" w:customStyle="1" w:styleId="95">
    <w:name w:val="正文缩进 Char"/>
    <w:link w:val="5"/>
    <w:qFormat/>
    <w:locked/>
    <w:uiPriority w:val="99"/>
    <w:rPr>
      <w:rFonts w:eastAsia="宋体"/>
      <w:kern w:val="2"/>
      <w:sz w:val="21"/>
      <w:szCs w:val="21"/>
      <w:lang w:val="en-US" w:eastAsia="zh-CN"/>
    </w:rPr>
  </w:style>
  <w:style w:type="character" w:customStyle="1" w:styleId="96">
    <w:name w:val="apple-converted-space"/>
    <w:qFormat/>
    <w:uiPriority w:val="99"/>
  </w:style>
  <w:style w:type="character" w:customStyle="1" w:styleId="97">
    <w:name w:val="Char Char"/>
    <w:qFormat/>
    <w:uiPriority w:val="99"/>
    <w:rPr>
      <w:rFonts w:ascii="宋体" w:hAnsi="Courier New" w:eastAsia="宋体" w:cs="宋体"/>
      <w:kern w:val="2"/>
      <w:sz w:val="21"/>
      <w:szCs w:val="21"/>
      <w:lang w:val="en-US" w:eastAsia="zh-CN"/>
    </w:rPr>
  </w:style>
  <w:style w:type="character" w:customStyle="1" w:styleId="98">
    <w:name w:val="font11"/>
    <w:basedOn w:val="31"/>
    <w:qFormat/>
    <w:uiPriority w:val="99"/>
    <w:rPr>
      <w:rFonts w:ascii="Arial Unicode MS" w:hAnsi="Arial Unicode MS" w:eastAsia="Times New Roman" w:cs="Arial Unicode MS"/>
      <w:color w:val="000000"/>
      <w:sz w:val="22"/>
      <w:szCs w:val="22"/>
      <w:u w:val="none"/>
    </w:rPr>
  </w:style>
  <w:style w:type="character" w:customStyle="1" w:styleId="99">
    <w:name w:val="font31"/>
    <w:basedOn w:val="31"/>
    <w:qFormat/>
    <w:uiPriority w:val="99"/>
    <w:rPr>
      <w:rFonts w:ascii="宋体" w:hAnsi="宋体" w:eastAsia="宋体" w:cs="宋体"/>
      <w:color w:val="000000"/>
      <w:sz w:val="22"/>
      <w:szCs w:val="22"/>
      <w:u w:val="none"/>
    </w:rPr>
  </w:style>
  <w:style w:type="paragraph" w:customStyle="1" w:styleId="100">
    <w:name w:val="列表段落1"/>
    <w:basedOn w:val="1"/>
    <w:qFormat/>
    <w:uiPriority w:val="99"/>
    <w:pPr>
      <w:ind w:firstLine="420" w:firstLineChars="200"/>
    </w:pPr>
  </w:style>
  <w:style w:type="paragraph" w:customStyle="1" w:styleId="101">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23247</Words>
  <Characters>25100</Characters>
  <Lines>195</Lines>
  <Paragraphs>55</Paragraphs>
  <TotalTime>15</TotalTime>
  <ScaleCrop>false</ScaleCrop>
  <LinksUpToDate>false</LinksUpToDate>
  <CharactersWithSpaces>25669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2022-09-21T00:56:00Z</dcterms:created>
  <dc:creator>yanjun</dc:creator>
  <cp:lastModifiedBy>Administrator</cp:lastModifiedBy>
  <cp:lastPrinted>2022-08-09T01:14:00Z</cp:lastPrinted>
  <dcterms:modified xsi:type="dcterms:W3CDTF">2022-12-07T08:34:10Z</dcterms:modified>
  <dc:title>政府采购招标文件 (2006版) （修改1稿）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0F07D48C064F4BF7B95704B311B6D4D5</vt:lpwstr>
  </property>
</Properties>
</file>